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40" w:lineRule="auto"/>
        <w:ind w:left="0" w:firstLine="0"/>
        <w:rPr>
          <w:rFonts w:ascii="Times New Roman" w:cs="Times New Roman" w:eastAsia="Times New Roman" w:hAnsi="Times New Roman"/>
          <w:color w:val="0d0d0d"/>
          <w:sz w:val="44"/>
          <w:szCs w:val="44"/>
        </w:rPr>
      </w:pPr>
      <w:r w:rsidDel="00000000" w:rsidR="00000000" w:rsidRPr="00000000">
        <w:rPr>
          <w:rFonts w:ascii="Times New Roman" w:cs="Times New Roman" w:eastAsia="Times New Roman" w:hAnsi="Times New Roman"/>
          <w:color w:val="0d0d0d"/>
          <w:sz w:val="44"/>
          <w:szCs w:val="44"/>
          <w:rtl w:val="0"/>
        </w:rPr>
        <w:t xml:space="preserve">Ontario Amateur Wrestling Association (OAWA)</w:t>
      </w:r>
    </w:p>
    <w:p w:rsidR="00000000" w:rsidDel="00000000" w:rsidP="00000000" w:rsidRDefault="00000000" w:rsidRPr="00000000" w14:paraId="00000002">
      <w:pPr>
        <w:shd w:fill="ffffff" w:val="clear"/>
        <w:spacing w:after="240" w:line="240" w:lineRule="auto"/>
        <w:ind w:left="0" w:firstLine="0"/>
        <w:rPr>
          <w:rFonts w:ascii="Times New Roman" w:cs="Times New Roman" w:eastAsia="Times New Roman" w:hAnsi="Times New Roman"/>
          <w:color w:val="0d0d0d"/>
          <w:sz w:val="36"/>
          <w:szCs w:val="36"/>
        </w:rPr>
      </w:pPr>
      <w:r w:rsidDel="00000000" w:rsidR="00000000" w:rsidRPr="00000000">
        <w:rPr>
          <w:rFonts w:ascii="Times New Roman" w:cs="Times New Roman" w:eastAsia="Times New Roman" w:hAnsi="Times New Roman"/>
          <w:color w:val="0d0d0d"/>
          <w:sz w:val="36"/>
          <w:szCs w:val="36"/>
          <w:rtl w:val="0"/>
        </w:rPr>
        <w:t xml:space="preserve">Sport-Specific Carding Point Criteria – 2027</w:t>
      </w:r>
    </w:p>
    <w:p w:rsidR="00000000" w:rsidDel="00000000" w:rsidP="00000000" w:rsidRDefault="00000000" w:rsidRPr="00000000" w14:paraId="00000003">
      <w:pPr>
        <w:shd w:fill="ffffff" w:val="clear"/>
        <w:spacing w:after="240" w:line="240" w:lineRule="auto"/>
        <w:ind w:left="0" w:firstLine="0"/>
        <w:rPr>
          <w:rFonts w:ascii="Times New Roman" w:cs="Times New Roman" w:eastAsia="Times New Roman" w:hAnsi="Times New Roman"/>
          <w:color w:val="0d0d0d"/>
          <w:sz w:val="28"/>
          <w:szCs w:val="28"/>
        </w:rPr>
      </w:pPr>
      <w:r w:rsidDel="00000000" w:rsidR="00000000" w:rsidRPr="00000000">
        <w:rPr>
          <w:rFonts w:ascii="Times New Roman" w:cs="Times New Roman" w:eastAsia="Times New Roman" w:hAnsi="Times New Roman"/>
          <w:color w:val="0d0d0d"/>
          <w:sz w:val="28"/>
          <w:szCs w:val="28"/>
          <w:rtl w:val="0"/>
        </w:rPr>
        <w:t xml:space="preserve">Ontario Athlete Assistance Program (OAAP / Quest for Gold / Carding)</w:t>
      </w:r>
    </w:p>
    <w:p w:rsidR="00000000" w:rsidDel="00000000" w:rsidP="00000000" w:rsidRDefault="00000000" w:rsidRPr="00000000" w14:paraId="00000004">
      <w:pPr>
        <w:shd w:fill="ffffff" w:val="clear"/>
        <w:spacing w:after="240" w:line="240" w:lineRule="auto"/>
        <w:ind w:left="0" w:firstLine="0"/>
        <w:rPr>
          <w:rFonts w:ascii="Times New Roman" w:cs="Times New Roman" w:eastAsia="Times New Roman" w:hAnsi="Times New Roman"/>
          <w:color w:val="0d0d0d"/>
          <w:sz w:val="28"/>
          <w:szCs w:val="28"/>
        </w:rPr>
      </w:pPr>
      <w:r w:rsidDel="00000000" w:rsidR="00000000" w:rsidRPr="00000000">
        <w:rPr>
          <w:rtl w:val="0"/>
        </w:rPr>
      </w:r>
    </w:p>
    <w:p w:rsidR="00000000" w:rsidDel="00000000" w:rsidP="00000000" w:rsidRDefault="00000000" w:rsidRPr="00000000" w14:paraId="00000005">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1. Overview</w:t>
      </w:r>
    </w:p>
    <w:p w:rsidR="00000000" w:rsidDel="00000000" w:rsidP="00000000" w:rsidRDefault="00000000" w:rsidRPr="00000000" w14:paraId="00000006">
      <w:pPr>
        <w:shd w:fill="ffffff" w:val="clear"/>
        <w:spacing w:after="24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Points will be earned at the 2025/26 events (tentative) based on fully open events and WCL carding events, using the scoring system outlined for each event. The minimum requirement needed in order to be considered eligible for funding is outlined below. Points can only be collected as a member of OAWA at the time of events.</w:t>
      </w:r>
    </w:p>
    <w:p w:rsidR="00000000" w:rsidDel="00000000" w:rsidP="00000000" w:rsidRDefault="00000000" w:rsidRPr="00000000" w14:paraId="00000007">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2. Minimum Performance Standard</w:t>
      </w:r>
    </w:p>
    <w:p w:rsidR="00000000" w:rsidDel="00000000" w:rsidP="00000000" w:rsidRDefault="00000000" w:rsidRPr="00000000" w14:paraId="00000008">
      <w:pPr>
        <w:shd w:fill="ffffff" w:val="clear"/>
        <w:spacing w:after="20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minimum performance standard (one of the following required):</w:t>
      </w:r>
    </w:p>
    <w:p w:rsidR="00000000" w:rsidDel="00000000" w:rsidP="00000000" w:rsidRDefault="00000000" w:rsidRPr="00000000" w14:paraId="00000009">
      <w:pPr>
        <w:numPr>
          <w:ilvl w:val="0"/>
          <w:numId w:val="5"/>
        </w:numPr>
        <w:shd w:fill="ffffff" w:val="clear"/>
        <w:spacing w:after="0" w:afterAutospacing="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Top 6 – Senior National Championships (Olympic weight classes)</w:t>
      </w:r>
    </w:p>
    <w:p w:rsidR="00000000" w:rsidDel="00000000" w:rsidP="00000000" w:rsidRDefault="00000000" w:rsidRPr="00000000" w14:paraId="0000000A">
      <w:pPr>
        <w:numPr>
          <w:ilvl w:val="0"/>
          <w:numId w:val="5"/>
        </w:numPr>
        <w:shd w:fill="ffffff" w:val="clear"/>
        <w:spacing w:after="0" w:afterAutospacing="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Top 4 – Senior National Non-Olympic Weight Trials</w:t>
      </w:r>
    </w:p>
    <w:p w:rsidR="00000000" w:rsidDel="00000000" w:rsidP="00000000" w:rsidRDefault="00000000" w:rsidRPr="00000000" w14:paraId="0000000B">
      <w:pPr>
        <w:numPr>
          <w:ilvl w:val="0"/>
          <w:numId w:val="5"/>
        </w:numPr>
        <w:shd w:fill="ffffff" w:val="clear"/>
        <w:spacing w:after="0" w:afterAutospacing="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Top 4 – U23 National Championships</w:t>
      </w:r>
    </w:p>
    <w:p w:rsidR="00000000" w:rsidDel="00000000" w:rsidP="00000000" w:rsidRDefault="00000000" w:rsidRPr="00000000" w14:paraId="0000000C">
      <w:pPr>
        <w:numPr>
          <w:ilvl w:val="0"/>
          <w:numId w:val="5"/>
        </w:numPr>
        <w:shd w:fill="ffffff" w:val="clear"/>
        <w:spacing w:after="0" w:afterAutospacing="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Top 4 – U20 National Championships</w:t>
      </w:r>
    </w:p>
    <w:p w:rsidR="00000000" w:rsidDel="00000000" w:rsidP="00000000" w:rsidRDefault="00000000" w:rsidRPr="00000000" w14:paraId="0000000D">
      <w:pPr>
        <w:numPr>
          <w:ilvl w:val="0"/>
          <w:numId w:val="5"/>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Top 3 – U19 National Championships</w:t>
      </w:r>
    </w:p>
    <w:p w:rsidR="00000000" w:rsidDel="00000000" w:rsidP="00000000" w:rsidRDefault="00000000" w:rsidRPr="00000000" w14:paraId="0000000E">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3. Multi-Event Point Rules</w:t>
      </w:r>
    </w:p>
    <w:p w:rsidR="00000000" w:rsidDel="00000000" w:rsidP="00000000" w:rsidRDefault="00000000" w:rsidRPr="00000000" w14:paraId="0000000F">
      <w:pPr>
        <w:shd w:fill="ffffff" w:val="clear"/>
        <w:spacing w:after="24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For athletes participating in multiple events:</w:t>
      </w:r>
    </w:p>
    <w:p w:rsidR="00000000" w:rsidDel="00000000" w:rsidP="00000000" w:rsidRDefault="00000000" w:rsidRPr="00000000" w14:paraId="00000010">
      <w:pPr>
        <w:numPr>
          <w:ilvl w:val="0"/>
          <w:numId w:val="15"/>
        </w:numPr>
        <w:shd w:fill="ffffff" w:val="clear"/>
        <w:spacing w:after="200" w:line="240" w:lineRule="auto"/>
        <w:ind w:left="720" w:hanging="36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will earn carding placing points in their top placing at the Canadian U20 / Junior Championships OR the Canadian U23 Championships, but not both.</w:t>
      </w:r>
    </w:p>
    <w:p w:rsidR="00000000" w:rsidDel="00000000" w:rsidP="00000000" w:rsidRDefault="00000000" w:rsidRPr="00000000" w14:paraId="00000011">
      <w:pPr>
        <w:numPr>
          <w:ilvl w:val="0"/>
          <w:numId w:val="15"/>
        </w:numPr>
        <w:shd w:fill="ffffff" w:val="clear"/>
        <w:spacing w:after="200" w:line="240" w:lineRule="auto"/>
        <w:ind w:left="720" w:hanging="36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placing at the Canadian U20 / Junior Championships and the Canadian Senior National Championships may earn points at both events. However, they may only count their highest placing points between the U20 / Junior Championships and the Senior Non-Olympic Weight Trials.</w:t>
      </w:r>
    </w:p>
    <w:p w:rsidR="00000000" w:rsidDel="00000000" w:rsidP="00000000" w:rsidRDefault="00000000" w:rsidRPr="00000000" w14:paraId="00000012">
      <w:pPr>
        <w:numPr>
          <w:ilvl w:val="0"/>
          <w:numId w:val="15"/>
        </w:numPr>
        <w:shd w:fill="ffffff" w:val="clear"/>
        <w:spacing w:after="200" w:line="240" w:lineRule="auto"/>
        <w:ind w:left="720" w:hanging="36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placing at the Canadian U23 Championships and the Canadian Senior National Championships may earn points at both events. However, they may only count their highest placing points between the U23 Championships and the Senior Non-Olympic Weight Trials.</w:t>
      </w:r>
    </w:p>
    <w:p w:rsidR="00000000" w:rsidDel="00000000" w:rsidP="00000000" w:rsidRDefault="00000000" w:rsidRPr="00000000" w14:paraId="00000013">
      <w:pPr>
        <w:numPr>
          <w:ilvl w:val="0"/>
          <w:numId w:val="15"/>
        </w:numPr>
        <w:shd w:fill="ffffff" w:val="clear"/>
        <w:spacing w:after="200" w:line="240" w:lineRule="auto"/>
        <w:ind w:left="720" w:hanging="36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competing in both Senior Olympic weight classes at the Canadian Senior National Championships and Senior Non-Olympic weight classes at the Canadian Non-Olympic Weight Trials may only count their highest placing points between the two events. Points cannot be accumulated from both Senior events, and the final point allocation must be based on the athlete’s highest placing result at either event.</w:t>
      </w:r>
      <w:r w:rsidDel="00000000" w:rsidR="00000000" w:rsidRPr="00000000">
        <w:rPr>
          <w:rtl w:val="0"/>
        </w:rPr>
      </w:r>
    </w:p>
    <w:p w:rsidR="00000000" w:rsidDel="00000000" w:rsidP="00000000" w:rsidRDefault="00000000" w:rsidRPr="00000000" w14:paraId="00000014">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4. Trials and National Championship Point Allocation</w:t>
      </w:r>
    </w:p>
    <w:p w:rsidR="00000000" w:rsidDel="00000000" w:rsidP="00000000" w:rsidRDefault="00000000" w:rsidRPr="00000000" w14:paraId="00000015">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4.1 Senior, U23 Trials, U20 / Junior – Point Allocation (2026 Events)</w:t>
      </w:r>
    </w:p>
    <w:p w:rsidR="00000000" w:rsidDel="00000000" w:rsidP="00000000" w:rsidRDefault="00000000" w:rsidRPr="00000000" w14:paraId="00000016">
      <w:pPr>
        <w:numPr>
          <w:ilvl w:val="0"/>
          <w:numId w:val="3"/>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In 2026, athletes will receive full points only in Olympic weight classes at the Senior Trials, scheduled for </w:t>
      </w:r>
      <w:r w:rsidDel="00000000" w:rsidR="00000000" w:rsidRPr="00000000">
        <w:rPr>
          <w:rFonts w:ascii="Times New Roman" w:cs="Times New Roman" w:eastAsia="Times New Roman" w:hAnsi="Times New Roman"/>
          <w:b w:val="1"/>
          <w:bCs w:val="1"/>
          <w:color w:val="0d0d0d"/>
          <w:sz w:val="20"/>
          <w:szCs w:val="20"/>
          <w:rtl w:val="0"/>
        </w:rPr>
        <w:t xml:space="preserve">May 30, 2026</w:t>
      </w:r>
      <w:r w:rsidDel="00000000" w:rsidR="00000000" w:rsidRPr="00000000">
        <w:rPr>
          <w:rFonts w:ascii="Times New Roman" w:cs="Times New Roman" w:eastAsia="Times New Roman" w:hAnsi="Times New Roman"/>
          <w:color w:val="0d0d0d"/>
          <w:sz w:val="20"/>
          <w:szCs w:val="20"/>
          <w:rtl w:val="0"/>
        </w:rPr>
        <w:t xml:space="preserve"> (Montreal, QC)</w:t>
      </w:r>
    </w:p>
    <w:p w:rsidR="00000000" w:rsidDel="00000000" w:rsidP="00000000" w:rsidRDefault="00000000" w:rsidRPr="00000000" w14:paraId="00000017">
      <w:pPr>
        <w:numPr>
          <w:ilvl w:val="0"/>
          <w:numId w:val="3"/>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The 2026 Canadian Non-Olympic Weight Class Trials, scheduled for June 26–27, 2026, at Canada Games Park (Thorold, ON), are designated as the only event where points will be awarded for non-Olympic weight classes.</w:t>
      </w:r>
      <w:r w:rsidDel="00000000" w:rsidR="00000000" w:rsidRPr="00000000">
        <w:br w:type="page"/>
      </w:r>
      <w:r w:rsidDel="00000000" w:rsidR="00000000" w:rsidRPr="00000000">
        <w:rPr>
          <w:rtl w:val="0"/>
        </w:rPr>
      </w:r>
    </w:p>
    <w:p w:rsidR="00000000" w:rsidDel="00000000" w:rsidP="00000000" w:rsidRDefault="00000000" w:rsidRPr="00000000" w14:paraId="00000018">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4.2 National Championship Point Allocation</w:t>
      </w:r>
    </w:p>
    <w:p w:rsidR="00000000" w:rsidDel="00000000" w:rsidP="00000000" w:rsidRDefault="00000000" w:rsidRPr="00000000" w14:paraId="00000019">
      <w:pPr>
        <w:shd w:fill="ffffff" w:val="clear"/>
        <w:spacing w:after="0" w:line="240" w:lineRule="auto"/>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2026 Senior Nationals Olympic Weight Classes / Trials (May 30, 2026, Montreal, QC):</w:t>
      </w:r>
    </w:p>
    <w:p w:rsidR="00000000" w:rsidDel="00000000" w:rsidP="00000000" w:rsidRDefault="00000000" w:rsidRPr="00000000" w14:paraId="0000001A">
      <w:pPr>
        <w:numPr>
          <w:ilvl w:val="0"/>
          <w:numId w:val="4"/>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50 points, 2nd – 40 points, 3rd – 30 points, 4th – 20 points, 5th – 10 points, 6th – 5 points</w:t>
      </w:r>
    </w:p>
    <w:p w:rsidR="00000000" w:rsidDel="00000000" w:rsidP="00000000" w:rsidRDefault="00000000" w:rsidRPr="00000000" w14:paraId="0000001B">
      <w:pPr>
        <w:shd w:fill="ffffff" w:val="clear"/>
        <w:spacing w:after="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2026 Senior Nationals Non-Olympic Weight / Trials (June 26–27, 2026, Thorold, ON):</w:t>
      </w:r>
    </w:p>
    <w:p w:rsidR="00000000" w:rsidDel="00000000" w:rsidP="00000000" w:rsidRDefault="00000000" w:rsidRPr="00000000" w14:paraId="0000001C">
      <w:pPr>
        <w:numPr>
          <w:ilvl w:val="0"/>
          <w:numId w:val="7"/>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40 points, 2nd – 30 points, 3rd – 20 points, 4th – 10 points, 5th – 5 points, 6th – 2 points</w:t>
      </w:r>
    </w:p>
    <w:p w:rsidR="00000000" w:rsidDel="00000000" w:rsidP="00000000" w:rsidRDefault="00000000" w:rsidRPr="00000000" w14:paraId="0000001D">
      <w:pPr>
        <w:shd w:fill="ffffff" w:val="clear"/>
        <w:spacing w:after="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2026 U23 National Championships / Trials  (June 26, 2026, Thorold, ON):</w:t>
      </w:r>
    </w:p>
    <w:p w:rsidR="00000000" w:rsidDel="00000000" w:rsidP="00000000" w:rsidRDefault="00000000" w:rsidRPr="00000000" w14:paraId="0000001E">
      <w:pPr>
        <w:numPr>
          <w:ilvl w:val="0"/>
          <w:numId w:val="6"/>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40 points, 2nd – 30 points, 3rd – 20 points, 4th – 10 points, 5th – 5 points, 6th – 2 points</w:t>
      </w:r>
    </w:p>
    <w:p w:rsidR="00000000" w:rsidDel="00000000" w:rsidP="00000000" w:rsidRDefault="00000000" w:rsidRPr="00000000" w14:paraId="0000001F">
      <w:pPr>
        <w:shd w:fill="ffffff" w:val="clear"/>
        <w:spacing w:after="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2026 U20 (Junior) National Championships / Trials (May 29, 2026, Montreal, QC):</w:t>
      </w:r>
    </w:p>
    <w:p w:rsidR="00000000" w:rsidDel="00000000" w:rsidP="00000000" w:rsidRDefault="00000000" w:rsidRPr="00000000" w14:paraId="00000020">
      <w:pPr>
        <w:numPr>
          <w:ilvl w:val="0"/>
          <w:numId w:val="8"/>
        </w:numPr>
        <w:shd w:fill="ffffff" w:val="clear"/>
        <w:spacing w:after="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40 points, 2nd – 30 points, 3rd – 20 points, 4th – 10 points, 5th – 5 points, 6th – 2 points</w:t>
      </w:r>
    </w:p>
    <w:p w:rsidR="00000000" w:rsidDel="00000000" w:rsidP="00000000" w:rsidRDefault="00000000" w:rsidRPr="00000000" w14:paraId="00000021">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tl w:val="0"/>
        </w:rPr>
      </w:r>
    </w:p>
    <w:p w:rsidR="00000000" w:rsidDel="00000000" w:rsidP="00000000" w:rsidRDefault="00000000" w:rsidRPr="00000000" w14:paraId="00000022">
      <w:pPr>
        <w:shd w:fill="ffffff" w:val="clear"/>
        <w:spacing w:after="240" w:line="240" w:lineRule="auto"/>
        <w:ind w:left="0" w:firstLine="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b w:val="1"/>
          <w:bCs w:val="1"/>
          <w:color w:val="0d0d0d"/>
          <w:sz w:val="28"/>
          <w:szCs w:val="28"/>
          <w:rtl w:val="0"/>
        </w:rPr>
        <w:t xml:space="preserve">5. OUA Event Point Allocation (Top Three Results)</w:t>
      </w:r>
      <w:r w:rsidDel="00000000" w:rsidR="00000000" w:rsidRPr="00000000">
        <w:rPr>
          <w:rtl w:val="0"/>
        </w:rPr>
      </w:r>
    </w:p>
    <w:p w:rsidR="00000000" w:rsidDel="00000000" w:rsidP="00000000" w:rsidRDefault="00000000" w:rsidRPr="00000000" w14:paraId="00000023">
      <w:pPr>
        <w:shd w:fill="ffffff" w:val="clear"/>
        <w:spacing w:after="24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Athletes can take part in as many OUA Open events as they wish, but only the athlete's top three highest tournament placements will count towards carding points earned.</w:t>
      </w:r>
    </w:p>
    <w:p w:rsidR="00000000" w:rsidDel="00000000" w:rsidP="00000000" w:rsidRDefault="00000000" w:rsidRPr="00000000" w14:paraId="00000024">
      <w:pPr>
        <w:shd w:fill="ffffff" w:val="clear"/>
        <w:spacing w:after="24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For an OUA event to qualify for point allocation, it must meet specific criteria: events must be open to all athletes, undergo weight verification, and not be segregated into two separate tournaments.</w:t>
      </w:r>
    </w:p>
    <w:p w:rsidR="00000000" w:rsidDel="00000000" w:rsidP="00000000" w:rsidRDefault="00000000" w:rsidRPr="00000000" w14:paraId="00000025">
      <w:pPr>
        <w:shd w:fill="ffffff" w:val="clear"/>
        <w:spacing w:after="200" w:line="240" w:lineRule="auto"/>
        <w:ind w:left="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color w:val="0d0d0d"/>
          <w:sz w:val="20"/>
          <w:szCs w:val="20"/>
          <w:rtl w:val="0"/>
        </w:rPr>
        <w:t xml:space="preserve">Eligible Events: McMaster, TMU, Brock, York, University of Toronto, Western</w:t>
      </w:r>
    </w:p>
    <w:p w:rsidR="00000000" w:rsidDel="00000000" w:rsidP="00000000" w:rsidRDefault="00000000" w:rsidRPr="00000000" w14:paraId="00000026">
      <w:pPr>
        <w:numPr>
          <w:ilvl w:val="0"/>
          <w:numId w:val="2"/>
        </w:numPr>
        <w:shd w:fill="ffffff" w:val="clear"/>
        <w:spacing w:after="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10 points, 2nd – 7 points, 3rd – 5 points, 4th – 3 points, 5th – 2 points, 6th – 1 point</w:t>
      </w:r>
    </w:p>
    <w:p w:rsidR="00000000" w:rsidDel="00000000" w:rsidP="00000000" w:rsidRDefault="00000000" w:rsidRPr="00000000" w14:paraId="00000027">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tl w:val="0"/>
        </w:rPr>
      </w:r>
    </w:p>
    <w:p w:rsidR="00000000" w:rsidDel="00000000" w:rsidP="00000000" w:rsidRDefault="00000000" w:rsidRPr="00000000" w14:paraId="00000028">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6. Designated Event – Guelph Open / WCL Carding (2025)</w:t>
      </w:r>
    </w:p>
    <w:p w:rsidR="00000000" w:rsidDel="00000000" w:rsidP="00000000" w:rsidRDefault="00000000" w:rsidRPr="00000000" w14:paraId="00000029">
      <w:pPr>
        <w:shd w:fill="ffffff" w:val="clear"/>
        <w:spacing w:after="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6.1 Olympic Weight Classes</w:t>
      </w:r>
    </w:p>
    <w:p w:rsidR="00000000" w:rsidDel="00000000" w:rsidP="00000000" w:rsidRDefault="00000000" w:rsidRPr="00000000" w14:paraId="0000002A">
      <w:pPr>
        <w:numPr>
          <w:ilvl w:val="0"/>
          <w:numId w:val="10"/>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40 points, 2nd – 30 points, 3rd – 20 points, 4th – 10 points, 5th – 5 points, 6th – 2 points</w:t>
      </w:r>
    </w:p>
    <w:p w:rsidR="00000000" w:rsidDel="00000000" w:rsidP="00000000" w:rsidRDefault="00000000" w:rsidRPr="00000000" w14:paraId="0000002B">
      <w:pPr>
        <w:shd w:fill="ffffff" w:val="clear"/>
        <w:spacing w:after="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6.2 Non-Olympic Weight Classes</w:t>
      </w:r>
    </w:p>
    <w:p w:rsidR="00000000" w:rsidDel="00000000" w:rsidP="00000000" w:rsidRDefault="00000000" w:rsidRPr="00000000" w14:paraId="0000002C">
      <w:pPr>
        <w:numPr>
          <w:ilvl w:val="0"/>
          <w:numId w:val="14"/>
        </w:numPr>
        <w:shd w:fill="ffffff" w:val="clear"/>
        <w:spacing w:after="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20 points, 2nd – 15 points, 3rd – 10 points, 4th – 5 points, 5th – 3 points, 6th – 1 point</w:t>
      </w:r>
    </w:p>
    <w:p w:rsidR="00000000" w:rsidDel="00000000" w:rsidP="00000000" w:rsidRDefault="00000000" w:rsidRPr="00000000" w14:paraId="0000002D">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tl w:val="0"/>
        </w:rPr>
      </w:r>
    </w:p>
    <w:p w:rsidR="00000000" w:rsidDel="00000000" w:rsidP="00000000" w:rsidRDefault="00000000" w:rsidRPr="00000000" w14:paraId="0000002E">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7. Provincial Championship Point Allocation</w:t>
      </w:r>
    </w:p>
    <w:p w:rsidR="00000000" w:rsidDel="00000000" w:rsidP="00000000" w:rsidRDefault="00000000" w:rsidRPr="00000000" w14:paraId="0000002F">
      <w:pPr>
        <w:shd w:fill="ffffff" w:val="clear"/>
        <w:spacing w:after="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7.1 Ontario Senior Championships (2026)</w:t>
      </w:r>
    </w:p>
    <w:p w:rsidR="00000000" w:rsidDel="00000000" w:rsidP="00000000" w:rsidRDefault="00000000" w:rsidRPr="00000000" w14:paraId="00000030">
      <w:pPr>
        <w:numPr>
          <w:ilvl w:val="0"/>
          <w:numId w:val="16"/>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50 points, 2nd – 40 points, 3rd – 30 points, 4th – 20 points, 5th – 10 points, 6th – 5 points</w:t>
      </w:r>
      <w:r w:rsidDel="00000000" w:rsidR="00000000" w:rsidRPr="00000000">
        <w:rPr>
          <w:rtl w:val="0"/>
        </w:rPr>
      </w:r>
    </w:p>
    <w:p w:rsidR="00000000" w:rsidDel="00000000" w:rsidP="00000000" w:rsidRDefault="00000000" w:rsidRPr="00000000" w14:paraId="00000031">
      <w:pPr>
        <w:shd w:fill="ffffff" w:val="clear"/>
        <w:spacing w:after="200" w:line="240" w:lineRule="auto"/>
        <w:ind w:left="720" w:firstLine="0"/>
        <w:rPr>
          <w:rFonts w:ascii="Times New Roman" w:cs="Times New Roman" w:eastAsia="Times New Roman" w:hAnsi="Times New Roman"/>
          <w:color w:val="0d0d0d"/>
          <w:sz w:val="20"/>
          <w:szCs w:val="20"/>
        </w:rPr>
      </w:pPr>
      <w:r w:rsidDel="00000000" w:rsidR="00000000" w:rsidRPr="00000000">
        <w:rPr>
          <w:rFonts w:ascii="Times New Roman" w:cs="Times New Roman" w:eastAsia="Times New Roman" w:hAnsi="Times New Roman"/>
          <w:i w:val="1"/>
          <w:iCs w:val="1"/>
          <w:color w:val="0d0d0d"/>
          <w:sz w:val="20"/>
          <w:szCs w:val="20"/>
          <w:rtl w:val="0"/>
        </w:rPr>
        <w:t xml:space="preserve">Note: Athletes who register and compete in a weight class with no additional entries will be awarded 1st place points.</w:t>
      </w:r>
      <w:r w:rsidDel="00000000" w:rsidR="00000000" w:rsidRPr="00000000">
        <w:rPr>
          <w:rtl w:val="0"/>
        </w:rPr>
      </w:r>
    </w:p>
    <w:p w:rsidR="00000000" w:rsidDel="00000000" w:rsidP="00000000" w:rsidRDefault="00000000" w:rsidRPr="00000000" w14:paraId="00000032">
      <w:pPr>
        <w:shd w:fill="ffffff" w:val="clear"/>
        <w:spacing w:after="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7.2 Ontario U20 / Junior Provincial Championships (2026)</w:t>
      </w:r>
    </w:p>
    <w:p w:rsidR="00000000" w:rsidDel="00000000" w:rsidP="00000000" w:rsidRDefault="00000000" w:rsidRPr="00000000" w14:paraId="00000033">
      <w:pPr>
        <w:numPr>
          <w:ilvl w:val="0"/>
          <w:numId w:val="1"/>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1st – 40 points, 2nd – 30 points, 3rd – 20 points, 4th – 10 points</w:t>
      </w:r>
    </w:p>
    <w:p w:rsidR="00000000" w:rsidDel="00000000" w:rsidP="00000000" w:rsidRDefault="00000000" w:rsidRPr="00000000" w14:paraId="00000034">
      <w:pPr>
        <w:shd w:fill="ffffff" w:val="clear"/>
        <w:spacing w:after="240" w:line="240" w:lineRule="auto"/>
        <w:ind w:left="72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i w:val="1"/>
          <w:iCs w:val="1"/>
          <w:color w:val="0d0d0d"/>
          <w:sz w:val="20"/>
          <w:szCs w:val="20"/>
          <w:rtl w:val="0"/>
        </w:rPr>
        <w:t xml:space="preserve">Note: Athletes who register and compete in a weight class with no additional entries will be awarded 1st place points.</w:t>
      </w:r>
      <w:r w:rsidDel="00000000" w:rsidR="00000000" w:rsidRPr="00000000">
        <w:br w:type="page"/>
      </w:r>
      <w:r w:rsidDel="00000000" w:rsidR="00000000" w:rsidRPr="00000000">
        <w:rPr>
          <w:rtl w:val="0"/>
        </w:rPr>
      </w:r>
    </w:p>
    <w:p w:rsidR="00000000" w:rsidDel="00000000" w:rsidP="00000000" w:rsidRDefault="00000000" w:rsidRPr="00000000" w14:paraId="00000035">
      <w:pPr>
        <w:shd w:fill="ffffff" w:val="clear"/>
        <w:spacing w:after="240" w:line="240" w:lineRule="auto"/>
        <w:ind w:left="0" w:firstLine="0"/>
        <w:rPr>
          <w:rFonts w:ascii="Times New Roman" w:cs="Times New Roman" w:eastAsia="Times New Roman" w:hAnsi="Times New Roman"/>
          <w:b w:val="1"/>
          <w:bCs w:val="1"/>
          <w:color w:val="0d0d0d"/>
          <w:sz w:val="28"/>
          <w:szCs w:val="28"/>
        </w:rPr>
      </w:pPr>
      <w:r w:rsidDel="00000000" w:rsidR="00000000" w:rsidRPr="00000000">
        <w:rPr>
          <w:rFonts w:ascii="Times New Roman" w:cs="Times New Roman" w:eastAsia="Times New Roman" w:hAnsi="Times New Roman"/>
          <w:b w:val="1"/>
          <w:bCs w:val="1"/>
          <w:color w:val="0d0d0d"/>
          <w:sz w:val="28"/>
          <w:szCs w:val="28"/>
          <w:rtl w:val="0"/>
        </w:rPr>
        <w:t xml:space="preserve">8. Final Considerations and Policies</w:t>
      </w:r>
    </w:p>
    <w:p w:rsidR="00000000" w:rsidDel="00000000" w:rsidP="00000000" w:rsidRDefault="00000000" w:rsidRPr="00000000" w14:paraId="00000036">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8.1 National Team Event Exception</w:t>
      </w:r>
    </w:p>
    <w:p w:rsidR="00000000" w:rsidDel="00000000" w:rsidP="00000000" w:rsidRDefault="00000000" w:rsidRPr="00000000" w14:paraId="00000037">
      <w:pPr>
        <w:numPr>
          <w:ilvl w:val="0"/>
          <w:numId w:val="9"/>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Athletes who are selected to represent Canada at a Wrestling Canada Lutte (WCL) National Team event occurring within two (2) weeks before or after a designated carding event may appeal, following the OAWA Appeals Process, to the High Performance Committee for consideration. Eligible events include World Championships, Continental Championships, United World Wrestling (UWW) Ranking Series events, or other NSO-identified competitions that contribute to international performance metrics (e.g., International Performance Index).</w:t>
      </w:r>
    </w:p>
    <w:p w:rsidR="00000000" w:rsidDel="00000000" w:rsidP="00000000" w:rsidRDefault="00000000" w:rsidRPr="00000000" w14:paraId="00000038">
      <w:pPr>
        <w:numPr>
          <w:ilvl w:val="0"/>
          <w:numId w:val="9"/>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Approval is not guaranteed. Requests will be reviewed on a case-by-case basis. Where approved, the athlete may be awarded points equivalent to a 1st place finish for the impacted event.</w:t>
      </w:r>
    </w:p>
    <w:p w:rsidR="00000000" w:rsidDel="00000000" w:rsidP="00000000" w:rsidRDefault="00000000" w:rsidRPr="00000000" w14:paraId="00000039">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8.2 Eligibility and Final Selection</w:t>
      </w:r>
    </w:p>
    <w:p w:rsidR="00000000" w:rsidDel="00000000" w:rsidP="00000000" w:rsidRDefault="00000000" w:rsidRPr="00000000" w14:paraId="0000003A">
      <w:pPr>
        <w:numPr>
          <w:ilvl w:val="0"/>
          <w:numId w:val="12"/>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Achievement of a minimum performance standard or accumulation of the highest point total does not guarantee nomination for Ontario Athlete Assistance Program (OAAP) carding.</w:t>
      </w:r>
    </w:p>
    <w:p w:rsidR="00000000" w:rsidDel="00000000" w:rsidP="00000000" w:rsidRDefault="00000000" w:rsidRPr="00000000" w14:paraId="0000003B">
      <w:pPr>
        <w:numPr>
          <w:ilvl w:val="0"/>
          <w:numId w:val="12"/>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All athletes must meet the eligibility requirements and selection criteria as outlined in the OAWA Athlete Selection Criteria document. Final nominations are determined by eligibility, performance, and available funding.</w:t>
      </w:r>
    </w:p>
    <w:p w:rsidR="00000000" w:rsidDel="00000000" w:rsidP="00000000" w:rsidRDefault="00000000" w:rsidRPr="00000000" w14:paraId="0000003C">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8.3 Funding Contingency</w:t>
      </w:r>
    </w:p>
    <w:p w:rsidR="00000000" w:rsidDel="00000000" w:rsidP="00000000" w:rsidRDefault="00000000" w:rsidRPr="00000000" w14:paraId="0000003D">
      <w:pPr>
        <w:numPr>
          <w:ilvl w:val="0"/>
          <w:numId w:val="13"/>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All carding nominations and funding allocations are subject to the level of funding received through the Ontario Athlete Assistance Program (OAAP), as allocated by the Ontario Ministry of Sport.</w:t>
      </w:r>
    </w:p>
    <w:p w:rsidR="00000000" w:rsidDel="00000000" w:rsidP="00000000" w:rsidRDefault="00000000" w:rsidRPr="00000000" w14:paraId="0000003E">
      <w:pPr>
        <w:numPr>
          <w:ilvl w:val="0"/>
          <w:numId w:val="13"/>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OAWA reserves the right to adjust the number of athletes selected, the distribution of funding, and the structure of carding allocations accordingly.</w:t>
      </w:r>
    </w:p>
    <w:p w:rsidR="00000000" w:rsidDel="00000000" w:rsidP="00000000" w:rsidRDefault="00000000" w:rsidRPr="00000000" w14:paraId="0000003F">
      <w:pPr>
        <w:shd w:fill="ffffff" w:val="clear"/>
        <w:spacing w:after="240" w:line="240" w:lineRule="auto"/>
        <w:ind w:left="0" w:firstLine="0"/>
        <w:rPr>
          <w:rFonts w:ascii="Times New Roman" w:cs="Times New Roman" w:eastAsia="Times New Roman" w:hAnsi="Times New Roman"/>
          <w:b w:val="1"/>
          <w:bCs w:val="1"/>
          <w:color w:val="0d0d0d"/>
        </w:rPr>
      </w:pPr>
      <w:r w:rsidDel="00000000" w:rsidR="00000000" w:rsidRPr="00000000">
        <w:rPr>
          <w:rFonts w:ascii="Times New Roman" w:cs="Times New Roman" w:eastAsia="Times New Roman" w:hAnsi="Times New Roman"/>
          <w:b w:val="1"/>
          <w:bCs w:val="1"/>
          <w:color w:val="0d0d0d"/>
          <w:rtl w:val="0"/>
        </w:rPr>
        <w:t xml:space="preserve">8.4 Event and Point Allocation Adjustments</w:t>
      </w:r>
    </w:p>
    <w:p w:rsidR="00000000" w:rsidDel="00000000" w:rsidP="00000000" w:rsidRDefault="00000000" w:rsidRPr="00000000" w14:paraId="00000040">
      <w:pPr>
        <w:numPr>
          <w:ilvl w:val="0"/>
          <w:numId w:val="11"/>
        </w:numPr>
        <w:shd w:fill="ffffff" w:val="clear"/>
        <w:spacing w:after="20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Designated events and associated point allocations are subject to change due to competition schedule adjustments, event cancellations, or alignment with Wrestling Canada Lutte (WCL) programming.</w:t>
      </w:r>
    </w:p>
    <w:p w:rsidR="00000000" w:rsidDel="00000000" w:rsidP="00000000" w:rsidRDefault="00000000" w:rsidRPr="00000000" w14:paraId="00000041">
      <w:pPr>
        <w:numPr>
          <w:ilvl w:val="0"/>
          <w:numId w:val="11"/>
        </w:numPr>
        <w:shd w:fill="ffffff" w:val="clear"/>
        <w:spacing w:after="240" w:line="240" w:lineRule="auto"/>
        <w:ind w:left="720" w:hanging="360"/>
        <w:rPr>
          <w:rFonts w:ascii="Times New Roman" w:cs="Times New Roman" w:eastAsia="Times New Roman" w:hAnsi="Times New Roman"/>
          <w:color w:val="0d0d0d"/>
          <w:sz w:val="20"/>
          <w:szCs w:val="20"/>
          <w:u w:val="none"/>
        </w:rPr>
      </w:pPr>
      <w:r w:rsidDel="00000000" w:rsidR="00000000" w:rsidRPr="00000000">
        <w:rPr>
          <w:rFonts w:ascii="Times New Roman" w:cs="Times New Roman" w:eastAsia="Times New Roman" w:hAnsi="Times New Roman"/>
          <w:color w:val="0d0d0d"/>
          <w:sz w:val="20"/>
          <w:szCs w:val="20"/>
          <w:rtl w:val="0"/>
        </w:rPr>
        <w:t xml:space="preserve">OAWA reserves the right to modify, replace, or remove events used for point allocation, and to adjust point structures where necessary to ensure fair and consistent athlete evaluation.</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rPr>
      </w:pPr>
      <w:r w:rsidDel="00000000" w:rsidR="00000000" w:rsidRPr="00000000">
        <w:rPr>
          <w:rtl w:val="0"/>
        </w:rPr>
      </w:r>
    </w:p>
    <w:sectPr>
      <w:pgSz w:h="15840" w:w="12240" w:orient="portrait"/>
      <w:pgMar w:bottom="1152" w:top="1152"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C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Hw/vfJWU8dsjKhLO5dQGFRfZQ==">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