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49BA" w14:textId="77777777" w:rsidR="007A4A28" w:rsidRPr="007A4A28" w:rsidRDefault="007A4A28" w:rsidP="007A4A28">
      <w:r w:rsidRPr="007A4A28">
        <w:t>R5.01       HOUSEHOLD COUNTS</w:t>
      </w:r>
    </w:p>
    <w:tbl>
      <w:tblPr>
        <w:tblpPr w:leftFromText="180" w:rightFromText="180" w:vertAnchor="text" w:horzAnchor="margin" w:tblpXSpec="right" w:tblpY="642"/>
        <w:tblW w:w="8797" w:type="dxa"/>
        <w:shd w:val="clear" w:color="auto" w:fill="FFFFFF"/>
        <w:tblCellMar>
          <w:left w:w="0" w:type="dxa"/>
          <w:right w:w="0" w:type="dxa"/>
        </w:tblCellMar>
        <w:tblLook w:val="04A0" w:firstRow="1" w:lastRow="0" w:firstColumn="1" w:lastColumn="0" w:noHBand="0" w:noVBand="1"/>
      </w:tblPr>
      <w:tblGrid>
        <w:gridCol w:w="2400"/>
        <w:gridCol w:w="2977"/>
        <w:gridCol w:w="3420"/>
      </w:tblGrid>
      <w:tr w:rsidR="007A4A28" w:rsidRPr="007A4A28" w14:paraId="2B8A484C" w14:textId="77777777" w:rsidTr="007A4A28">
        <w:trPr>
          <w:trHeight w:val="570"/>
        </w:trPr>
        <w:tc>
          <w:tcPr>
            <w:tcW w:w="2400" w:type="dxa"/>
            <w:tcBorders>
              <w:top w:val="outset" w:sz="8" w:space="0" w:color="FFFFFF"/>
              <w:left w:val="outset" w:sz="8" w:space="0" w:color="FFFFFF"/>
              <w:bottom w:val="outset" w:sz="8" w:space="0" w:color="FFFFFF"/>
              <w:right w:val="outset" w:sz="8" w:space="0" w:color="FFFFFF"/>
            </w:tcBorders>
            <w:shd w:val="clear" w:color="auto" w:fill="008C48"/>
            <w:tcMar>
              <w:top w:w="15" w:type="dxa"/>
              <w:left w:w="15" w:type="dxa"/>
              <w:bottom w:w="15" w:type="dxa"/>
              <w:right w:w="15" w:type="dxa"/>
            </w:tcMar>
            <w:vAlign w:val="center"/>
            <w:hideMark/>
          </w:tcPr>
          <w:p w14:paraId="5B5074A1" w14:textId="77777777" w:rsidR="007A4A28" w:rsidRPr="007A4A28" w:rsidRDefault="007A4A28" w:rsidP="007A4A28">
            <w:r w:rsidRPr="007A4A28">
              <w:rPr>
                <w:b/>
                <w:bCs/>
              </w:rPr>
              <w:t>Category</w:t>
            </w:r>
          </w:p>
        </w:tc>
        <w:tc>
          <w:tcPr>
            <w:tcW w:w="2977" w:type="dxa"/>
            <w:tcBorders>
              <w:top w:val="outset" w:sz="8" w:space="0" w:color="auto"/>
              <w:left w:val="nil"/>
              <w:bottom w:val="outset" w:sz="8" w:space="0" w:color="auto"/>
              <w:right w:val="outset" w:sz="8" w:space="0" w:color="auto"/>
            </w:tcBorders>
            <w:shd w:val="clear" w:color="auto" w:fill="008C48"/>
            <w:tcMar>
              <w:top w:w="15" w:type="dxa"/>
              <w:left w:w="15" w:type="dxa"/>
              <w:bottom w:w="15" w:type="dxa"/>
              <w:right w:w="15" w:type="dxa"/>
            </w:tcMar>
            <w:vAlign w:val="center"/>
            <w:hideMark/>
          </w:tcPr>
          <w:p w14:paraId="38973B7A" w14:textId="77777777" w:rsidR="007A4A28" w:rsidRPr="007A4A28" w:rsidRDefault="007A4A28" w:rsidP="007A4A28">
            <w:r w:rsidRPr="007A4A28">
              <w:rPr>
                <w:b/>
                <w:bCs/>
              </w:rPr>
              <w:t>30,001+ Households</w:t>
            </w:r>
          </w:p>
        </w:tc>
        <w:tc>
          <w:tcPr>
            <w:tcW w:w="3420" w:type="dxa"/>
            <w:tcBorders>
              <w:top w:val="outset" w:sz="8" w:space="0" w:color="auto"/>
              <w:left w:val="nil"/>
              <w:bottom w:val="outset" w:sz="8" w:space="0" w:color="auto"/>
              <w:right w:val="outset" w:sz="8" w:space="0" w:color="auto"/>
            </w:tcBorders>
            <w:shd w:val="clear" w:color="auto" w:fill="008C48"/>
            <w:tcMar>
              <w:top w:w="15" w:type="dxa"/>
              <w:left w:w="15" w:type="dxa"/>
              <w:bottom w:w="15" w:type="dxa"/>
              <w:right w:w="15" w:type="dxa"/>
            </w:tcMar>
            <w:vAlign w:val="center"/>
            <w:hideMark/>
          </w:tcPr>
          <w:p w14:paraId="1CD17BE2" w14:textId="77777777" w:rsidR="007A4A28" w:rsidRPr="007A4A28" w:rsidRDefault="007A4A28" w:rsidP="007A4A28">
            <w:r w:rsidRPr="007A4A28">
              <w:rPr>
                <w:b/>
                <w:bCs/>
              </w:rPr>
              <w:t>Less than 30,001</w:t>
            </w:r>
          </w:p>
        </w:tc>
      </w:tr>
      <w:tr w:rsidR="007A4A28" w:rsidRPr="007A4A28" w14:paraId="33653A89"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304521D" w14:textId="77777777" w:rsidR="007A4A28" w:rsidRPr="007A4A28" w:rsidRDefault="007A4A28" w:rsidP="007A4A28">
            <w:r w:rsidRPr="007A4A28">
              <w:t>8U</w:t>
            </w:r>
          </w:p>
        </w:tc>
        <w:tc>
          <w:tcPr>
            <w:tcW w:w="297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7CF1FD2" w14:textId="77777777" w:rsidR="007A4A28" w:rsidRPr="007A4A28" w:rsidRDefault="007A4A28" w:rsidP="007A4A28">
            <w:r w:rsidRPr="007A4A28">
              <w:t>AAA, AA, A</w:t>
            </w:r>
          </w:p>
        </w:tc>
        <w:tc>
          <w:tcPr>
            <w:tcW w:w="34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0046361" w14:textId="77777777" w:rsidR="007A4A28" w:rsidRPr="007A4A28" w:rsidRDefault="007A4A28" w:rsidP="007A4A28">
            <w:r w:rsidRPr="007A4A28">
              <w:t>B</w:t>
            </w:r>
          </w:p>
        </w:tc>
      </w:tr>
      <w:tr w:rsidR="007A4A28" w:rsidRPr="007A4A28" w14:paraId="234EB6AE"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D835962" w14:textId="77777777" w:rsidR="007A4A28" w:rsidRPr="007A4A28" w:rsidRDefault="007A4A28" w:rsidP="007A4A28">
            <w:r w:rsidRPr="007A4A28">
              <w:t>9U</w:t>
            </w:r>
          </w:p>
        </w:tc>
        <w:tc>
          <w:tcPr>
            <w:tcW w:w="297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308E69C" w14:textId="77777777" w:rsidR="007A4A28" w:rsidRPr="007A4A28" w:rsidRDefault="007A4A28" w:rsidP="007A4A28">
            <w:r w:rsidRPr="007A4A28">
              <w:t>AAA, AA, A</w:t>
            </w:r>
          </w:p>
        </w:tc>
        <w:tc>
          <w:tcPr>
            <w:tcW w:w="34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783B8A0" w14:textId="77777777" w:rsidR="007A4A28" w:rsidRPr="007A4A28" w:rsidRDefault="007A4A28" w:rsidP="007A4A28">
            <w:r w:rsidRPr="007A4A28">
              <w:t>B, C, D</w:t>
            </w:r>
          </w:p>
        </w:tc>
      </w:tr>
      <w:tr w:rsidR="007A4A28" w:rsidRPr="007A4A28" w14:paraId="70F7621D"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DC301E9" w14:textId="77777777" w:rsidR="007A4A28" w:rsidRPr="007A4A28" w:rsidRDefault="007A4A28" w:rsidP="007A4A28">
            <w:r w:rsidRPr="007A4A28">
              <w:t>10U</w:t>
            </w:r>
          </w:p>
        </w:tc>
        <w:tc>
          <w:tcPr>
            <w:tcW w:w="297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D2D132C" w14:textId="77777777" w:rsidR="007A4A28" w:rsidRPr="007A4A28" w:rsidRDefault="007A4A28" w:rsidP="007A4A28">
            <w:r w:rsidRPr="007A4A28">
              <w:t>AAA, AA, A</w:t>
            </w:r>
          </w:p>
        </w:tc>
        <w:tc>
          <w:tcPr>
            <w:tcW w:w="34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5455C6C" w14:textId="77777777" w:rsidR="007A4A28" w:rsidRPr="007A4A28" w:rsidRDefault="007A4A28" w:rsidP="007A4A28">
            <w:r w:rsidRPr="007A4A28">
              <w:t>B</w:t>
            </w:r>
          </w:p>
        </w:tc>
      </w:tr>
      <w:tr w:rsidR="007A4A28" w:rsidRPr="007A4A28" w14:paraId="3FA719BF"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D7BEC4B" w14:textId="77777777" w:rsidR="007A4A28" w:rsidRPr="007A4A28" w:rsidRDefault="007A4A28" w:rsidP="007A4A28">
            <w:r w:rsidRPr="007A4A28">
              <w:t>11U</w:t>
            </w:r>
          </w:p>
        </w:tc>
        <w:tc>
          <w:tcPr>
            <w:tcW w:w="297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624D987" w14:textId="77777777" w:rsidR="007A4A28" w:rsidRPr="007A4A28" w:rsidRDefault="007A4A28" w:rsidP="007A4A28">
            <w:r w:rsidRPr="007A4A28">
              <w:t>AAA, AA, A</w:t>
            </w:r>
          </w:p>
        </w:tc>
        <w:tc>
          <w:tcPr>
            <w:tcW w:w="34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EB9F98A" w14:textId="77777777" w:rsidR="007A4A28" w:rsidRPr="007A4A28" w:rsidRDefault="007A4A28" w:rsidP="007A4A28">
            <w:r w:rsidRPr="007A4A28">
              <w:t>B, C, D</w:t>
            </w:r>
          </w:p>
        </w:tc>
      </w:tr>
      <w:tr w:rsidR="007A4A28" w:rsidRPr="007A4A28" w14:paraId="2FA062E2"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8937C8C" w14:textId="77777777" w:rsidR="007A4A28" w:rsidRPr="007A4A28" w:rsidRDefault="007A4A28" w:rsidP="007A4A28">
            <w:r w:rsidRPr="007A4A28">
              <w:t>12U</w:t>
            </w:r>
          </w:p>
        </w:tc>
        <w:tc>
          <w:tcPr>
            <w:tcW w:w="297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D1DB744" w14:textId="77777777" w:rsidR="007A4A28" w:rsidRPr="007A4A28" w:rsidRDefault="007A4A28" w:rsidP="007A4A28">
            <w:r w:rsidRPr="007A4A28">
              <w:t>AAA, AA, A</w:t>
            </w:r>
          </w:p>
        </w:tc>
        <w:tc>
          <w:tcPr>
            <w:tcW w:w="34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80C6C38" w14:textId="77777777" w:rsidR="007A4A28" w:rsidRPr="007A4A28" w:rsidRDefault="007A4A28" w:rsidP="007A4A28">
            <w:r w:rsidRPr="007A4A28">
              <w:t>B</w:t>
            </w:r>
          </w:p>
        </w:tc>
      </w:tr>
      <w:tr w:rsidR="007A4A28" w:rsidRPr="007A4A28" w14:paraId="4B7B5450"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6FE36F8" w14:textId="77777777" w:rsidR="007A4A28" w:rsidRPr="007A4A28" w:rsidRDefault="007A4A28" w:rsidP="007A4A28">
            <w:r w:rsidRPr="007A4A28">
              <w:t>13U</w:t>
            </w:r>
          </w:p>
        </w:tc>
        <w:tc>
          <w:tcPr>
            <w:tcW w:w="297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18F8AC7" w14:textId="77777777" w:rsidR="007A4A28" w:rsidRPr="007A4A28" w:rsidRDefault="007A4A28" w:rsidP="007A4A28">
            <w:r w:rsidRPr="007A4A28">
              <w:t>AAA, AA, A</w:t>
            </w:r>
          </w:p>
        </w:tc>
        <w:tc>
          <w:tcPr>
            <w:tcW w:w="34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ACBE776" w14:textId="77777777" w:rsidR="007A4A28" w:rsidRPr="007A4A28" w:rsidRDefault="007A4A28" w:rsidP="007A4A28">
            <w:r w:rsidRPr="007A4A28">
              <w:t>B, C, D</w:t>
            </w:r>
          </w:p>
        </w:tc>
      </w:tr>
      <w:tr w:rsidR="007A4A28" w:rsidRPr="007A4A28" w14:paraId="5B8B18DB"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55E4E9D" w14:textId="77777777" w:rsidR="007A4A28" w:rsidRPr="007A4A28" w:rsidRDefault="007A4A28" w:rsidP="007A4A28">
            <w:r w:rsidRPr="007A4A28">
              <w:t>14U</w:t>
            </w:r>
          </w:p>
        </w:tc>
        <w:tc>
          <w:tcPr>
            <w:tcW w:w="297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DFAB6CD" w14:textId="77777777" w:rsidR="007A4A28" w:rsidRPr="007A4A28" w:rsidRDefault="007A4A28" w:rsidP="007A4A28">
            <w:r w:rsidRPr="007A4A28">
              <w:t>AAA, AA, A</w:t>
            </w:r>
          </w:p>
        </w:tc>
        <w:tc>
          <w:tcPr>
            <w:tcW w:w="34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643A12D" w14:textId="77777777" w:rsidR="007A4A28" w:rsidRPr="007A4A28" w:rsidRDefault="007A4A28" w:rsidP="007A4A28">
            <w:r w:rsidRPr="007A4A28">
              <w:t>B</w:t>
            </w:r>
          </w:p>
        </w:tc>
      </w:tr>
      <w:tr w:rsidR="007A4A28" w:rsidRPr="007A4A28" w14:paraId="55303AF8"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2457DC7" w14:textId="77777777" w:rsidR="007A4A28" w:rsidRPr="007A4A28" w:rsidRDefault="007A4A28" w:rsidP="007A4A28">
            <w:r w:rsidRPr="007A4A28">
              <w:t>15U</w:t>
            </w:r>
          </w:p>
        </w:tc>
        <w:tc>
          <w:tcPr>
            <w:tcW w:w="297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EF6E434" w14:textId="77777777" w:rsidR="007A4A28" w:rsidRPr="007A4A28" w:rsidRDefault="007A4A28" w:rsidP="007A4A28">
            <w:r w:rsidRPr="007A4A28">
              <w:t>AAA, AA, A</w:t>
            </w:r>
          </w:p>
        </w:tc>
        <w:tc>
          <w:tcPr>
            <w:tcW w:w="34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09D7F7A" w14:textId="77777777" w:rsidR="007A4A28" w:rsidRPr="007A4A28" w:rsidRDefault="007A4A28" w:rsidP="007A4A28">
            <w:r w:rsidRPr="007A4A28">
              <w:t>B, C, D</w:t>
            </w:r>
          </w:p>
        </w:tc>
      </w:tr>
      <w:tr w:rsidR="007A4A28" w:rsidRPr="007A4A28" w14:paraId="24BDD9FD"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6531928" w14:textId="77777777" w:rsidR="007A4A28" w:rsidRPr="007A4A28" w:rsidRDefault="007A4A28" w:rsidP="007A4A28">
            <w:r w:rsidRPr="007A4A28">
              <w:t>16U</w:t>
            </w:r>
          </w:p>
        </w:tc>
        <w:tc>
          <w:tcPr>
            <w:tcW w:w="297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CF8DDF0" w14:textId="77777777" w:rsidR="007A4A28" w:rsidRPr="007A4A28" w:rsidRDefault="007A4A28" w:rsidP="007A4A28">
            <w:r w:rsidRPr="007A4A28">
              <w:t>AAA, AA, A</w:t>
            </w:r>
          </w:p>
        </w:tc>
        <w:tc>
          <w:tcPr>
            <w:tcW w:w="34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26701D3" w14:textId="77777777" w:rsidR="007A4A28" w:rsidRPr="007A4A28" w:rsidRDefault="007A4A28" w:rsidP="007A4A28">
            <w:r w:rsidRPr="007A4A28">
              <w:t> B</w:t>
            </w:r>
          </w:p>
        </w:tc>
      </w:tr>
      <w:tr w:rsidR="007A4A28" w:rsidRPr="007A4A28" w14:paraId="4CA7C6B4"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2608CB0" w14:textId="77777777" w:rsidR="007A4A28" w:rsidRPr="007A4A28" w:rsidRDefault="007A4A28" w:rsidP="007A4A28">
            <w:r w:rsidRPr="007A4A28">
              <w:t>18U</w:t>
            </w:r>
          </w:p>
        </w:tc>
        <w:tc>
          <w:tcPr>
            <w:tcW w:w="297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D02043E" w14:textId="77777777" w:rsidR="007A4A28" w:rsidRPr="007A4A28" w:rsidRDefault="007A4A28" w:rsidP="007A4A28">
            <w:r w:rsidRPr="007A4A28">
              <w:t>AAA, AA, A</w:t>
            </w:r>
          </w:p>
        </w:tc>
        <w:tc>
          <w:tcPr>
            <w:tcW w:w="34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169A33B" w14:textId="77777777" w:rsidR="007A4A28" w:rsidRPr="007A4A28" w:rsidRDefault="007A4A28" w:rsidP="007A4A28">
            <w:r w:rsidRPr="007A4A28">
              <w:t>B, C</w:t>
            </w:r>
          </w:p>
        </w:tc>
      </w:tr>
      <w:tr w:rsidR="007A4A28" w:rsidRPr="007A4A28" w14:paraId="78C8E657" w14:textId="77777777" w:rsidTr="007A4A28">
        <w:trPr>
          <w:trHeight w:val="150"/>
        </w:trPr>
        <w:tc>
          <w:tcPr>
            <w:tcW w:w="2400" w:type="dxa"/>
            <w:tcBorders>
              <w:top w:val="nil"/>
              <w:left w:val="outset" w:sz="8" w:space="0" w:color="auto"/>
              <w:bottom w:val="outset" w:sz="8" w:space="0" w:color="auto"/>
              <w:right w:val="outset" w:sz="8" w:space="0" w:color="auto"/>
            </w:tcBorders>
            <w:shd w:val="clear" w:color="auto" w:fill="008C48"/>
            <w:tcMar>
              <w:top w:w="15" w:type="dxa"/>
              <w:left w:w="15" w:type="dxa"/>
              <w:bottom w:w="15" w:type="dxa"/>
              <w:right w:w="15" w:type="dxa"/>
            </w:tcMar>
            <w:vAlign w:val="center"/>
            <w:hideMark/>
          </w:tcPr>
          <w:p w14:paraId="5B7ED10A" w14:textId="77777777" w:rsidR="007A4A28" w:rsidRPr="007A4A28" w:rsidRDefault="007A4A28" w:rsidP="007A4A28">
            <w:r w:rsidRPr="007A4A28">
              <w:rPr>
                <w:b/>
                <w:bCs/>
              </w:rPr>
              <w:t>Category</w:t>
            </w:r>
          </w:p>
        </w:tc>
        <w:tc>
          <w:tcPr>
            <w:tcW w:w="6397" w:type="dxa"/>
            <w:gridSpan w:val="2"/>
            <w:tcBorders>
              <w:top w:val="nil"/>
              <w:left w:val="nil"/>
              <w:bottom w:val="outset" w:sz="8" w:space="0" w:color="auto"/>
              <w:right w:val="outset" w:sz="8" w:space="0" w:color="auto"/>
            </w:tcBorders>
            <w:shd w:val="clear" w:color="auto" w:fill="008C48"/>
            <w:tcMar>
              <w:top w:w="15" w:type="dxa"/>
              <w:left w:w="15" w:type="dxa"/>
              <w:bottom w:w="15" w:type="dxa"/>
              <w:right w:w="15" w:type="dxa"/>
            </w:tcMar>
            <w:vAlign w:val="center"/>
            <w:hideMark/>
          </w:tcPr>
          <w:p w14:paraId="2B265649" w14:textId="77777777" w:rsidR="007A4A28" w:rsidRPr="007A4A28" w:rsidRDefault="007A4A28" w:rsidP="007A4A28">
            <w:r w:rsidRPr="007A4A28">
              <w:rPr>
                <w:b/>
                <w:bCs/>
              </w:rPr>
              <w:t>All Households</w:t>
            </w:r>
          </w:p>
        </w:tc>
      </w:tr>
      <w:tr w:rsidR="007A4A28" w:rsidRPr="007A4A28" w14:paraId="1B200958" w14:textId="77777777" w:rsidTr="007A4A28">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E397DCF" w14:textId="77777777" w:rsidR="007A4A28" w:rsidRPr="007A4A28" w:rsidRDefault="007A4A28" w:rsidP="007A4A28">
            <w:r w:rsidRPr="007A4A28">
              <w:t>16U Girls</w:t>
            </w:r>
          </w:p>
        </w:tc>
        <w:tc>
          <w:tcPr>
            <w:tcW w:w="6397" w:type="dxa"/>
            <w:gridSpan w:val="2"/>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E9C3EC0" w14:textId="77777777" w:rsidR="007A4A28" w:rsidRPr="007A4A28" w:rsidRDefault="007A4A28" w:rsidP="007A4A28">
            <w:r w:rsidRPr="007A4A28">
              <w:t>AAA</w:t>
            </w:r>
          </w:p>
        </w:tc>
      </w:tr>
      <w:tr w:rsidR="007A4A28" w:rsidRPr="007A4A28" w14:paraId="2F3ED31C"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7133449" w14:textId="77777777" w:rsidR="007A4A28" w:rsidRPr="007A4A28" w:rsidRDefault="007A4A28" w:rsidP="007A4A28">
            <w:r w:rsidRPr="007A4A28">
              <w:t>22U</w:t>
            </w:r>
          </w:p>
        </w:tc>
        <w:tc>
          <w:tcPr>
            <w:tcW w:w="6397" w:type="dxa"/>
            <w:gridSpan w:val="2"/>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6C99AA6" w14:textId="77777777" w:rsidR="007A4A28" w:rsidRPr="007A4A28" w:rsidRDefault="007A4A28" w:rsidP="007A4A28">
            <w:r w:rsidRPr="007A4A28">
              <w:t>AAA, AA, A, B</w:t>
            </w:r>
          </w:p>
        </w:tc>
      </w:tr>
      <w:tr w:rsidR="007A4A28" w:rsidRPr="007A4A28" w14:paraId="78ABD3A6"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83595F1" w14:textId="77777777" w:rsidR="007A4A28" w:rsidRPr="007A4A28" w:rsidRDefault="007A4A28" w:rsidP="007A4A28">
            <w:r w:rsidRPr="007A4A28">
              <w:t>Women</w:t>
            </w:r>
          </w:p>
        </w:tc>
        <w:tc>
          <w:tcPr>
            <w:tcW w:w="6397" w:type="dxa"/>
            <w:gridSpan w:val="2"/>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AC5FDF0" w14:textId="77777777" w:rsidR="007A4A28" w:rsidRPr="007A4A28" w:rsidRDefault="007A4A28" w:rsidP="007A4A28">
            <w:r w:rsidRPr="007A4A28">
              <w:t>AAA</w:t>
            </w:r>
          </w:p>
        </w:tc>
      </w:tr>
      <w:tr w:rsidR="007A4A28" w:rsidRPr="007A4A28" w14:paraId="6A957B28" w14:textId="77777777" w:rsidTr="007A4A28">
        <w:trPr>
          <w:trHeight w:val="150"/>
        </w:trPr>
        <w:tc>
          <w:tcPr>
            <w:tcW w:w="240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2E383FC" w14:textId="77777777" w:rsidR="007A4A28" w:rsidRPr="007A4A28" w:rsidRDefault="007A4A28" w:rsidP="007A4A28">
            <w:r w:rsidRPr="007A4A28">
              <w:t>Senior</w:t>
            </w:r>
          </w:p>
        </w:tc>
        <w:tc>
          <w:tcPr>
            <w:tcW w:w="6397" w:type="dxa"/>
            <w:gridSpan w:val="2"/>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D4B3DFB" w14:textId="77777777" w:rsidR="007A4A28" w:rsidRPr="007A4A28" w:rsidRDefault="007A4A28" w:rsidP="007A4A28">
            <w:r w:rsidRPr="007A4A28">
              <w:t>AAA, AA, A, B, C</w:t>
            </w:r>
          </w:p>
        </w:tc>
      </w:tr>
    </w:tbl>
    <w:p w14:paraId="491E4800" w14:textId="77777777" w:rsidR="007A4A28" w:rsidRPr="007A4A28" w:rsidRDefault="007A4A28" w:rsidP="007A4A28">
      <w:pPr>
        <w:numPr>
          <w:ilvl w:val="0"/>
          <w:numId w:val="1"/>
        </w:numPr>
      </w:pPr>
      <w:r w:rsidRPr="007A4A28">
        <w:t>The OBA shall offer for annual competition the following Rep Provincial Championships:</w:t>
      </w:r>
    </w:p>
    <w:p w14:paraId="6FF1A54A" w14:textId="77777777" w:rsidR="007A4A28" w:rsidRPr="007A4A28" w:rsidRDefault="007A4A28" w:rsidP="007A4A28">
      <w:pPr>
        <w:numPr>
          <w:ilvl w:val="0"/>
          <w:numId w:val="2"/>
        </w:numPr>
      </w:pPr>
      <w:r w:rsidRPr="007A4A28">
        <w:t>Household numbers are used only to determine categories teams are eligible to participate in. Teams may request higher classification if so desired. A team at a lower household category may be classified at the classification of a larger household category at its request.</w:t>
      </w:r>
    </w:p>
    <w:p w14:paraId="245F06BD" w14:textId="77777777" w:rsidR="007A4A28" w:rsidRPr="007A4A28" w:rsidRDefault="007A4A28" w:rsidP="007A4A28">
      <w:pPr>
        <w:numPr>
          <w:ilvl w:val="0"/>
          <w:numId w:val="2"/>
        </w:numPr>
      </w:pPr>
      <w:r w:rsidRPr="007A4A28">
        <w:t xml:space="preserve">For purposes of classification, the number of households will be based on Canada Post data. Each Affiliated Association must define which postal codes are contained within their Local Associations’ boundaries.  Urban centres will use the FSA (first three digits of the postal code) and rural centres will use all 6 digits of the postal code.  The information must be filed with the OBA Office by April 1, 2012, and </w:t>
      </w:r>
      <w:r w:rsidRPr="007A4A28">
        <w:lastRenderedPageBreak/>
        <w:t xml:space="preserve">updated as necessary every three years thereafter.  If an Affiliated Association fails to comply with this requirement, the Competition Committee will decide </w:t>
      </w:r>
      <w:proofErr w:type="gramStart"/>
      <w:r w:rsidRPr="007A4A28">
        <w:t>whether or not</w:t>
      </w:r>
      <w:proofErr w:type="gramEnd"/>
      <w:r w:rsidRPr="007A4A28">
        <w:t xml:space="preserve"> the Affiliated Association’s teams will be eligible to be classified, and if so, will determine the classification of the teams.  The Competition Committee’s decision is final and may not be appealed.</w:t>
      </w:r>
    </w:p>
    <w:p w14:paraId="6C924810" w14:textId="77777777" w:rsidR="007A4A28" w:rsidRPr="007A4A28" w:rsidRDefault="007A4A28" w:rsidP="007A4A28">
      <w:pPr>
        <w:numPr>
          <w:ilvl w:val="0"/>
          <w:numId w:val="2"/>
        </w:numPr>
      </w:pPr>
      <w:r w:rsidRPr="007A4A28">
        <w:t>The number of households added to the household count of a team by an import player(s) will be determined as follows:</w:t>
      </w:r>
    </w:p>
    <w:p w14:paraId="42E391FC" w14:textId="77777777" w:rsidR="007A4A28" w:rsidRPr="007A4A28" w:rsidRDefault="007A4A28" w:rsidP="007A4A28">
      <w:pPr>
        <w:numPr>
          <w:ilvl w:val="1"/>
          <w:numId w:val="2"/>
        </w:numPr>
      </w:pPr>
      <w:r w:rsidRPr="007A4A28">
        <w:t>Each urban postal code will add the highest count associated with the LCW, LB, SS, RR, or GD (as defined by Canada Post) for the FSA in which the players reside.</w:t>
      </w:r>
    </w:p>
    <w:p w14:paraId="2F645A46" w14:textId="77777777" w:rsidR="007A4A28" w:rsidRPr="007A4A28" w:rsidRDefault="007A4A28" w:rsidP="007A4A28">
      <w:pPr>
        <w:numPr>
          <w:ilvl w:val="1"/>
          <w:numId w:val="2"/>
        </w:numPr>
      </w:pPr>
      <w:r w:rsidRPr="007A4A28">
        <w:t>Each rural postal code will add the highest count associated with the LCW, LB, SS, RR or GD (as defined by Canada Post) for the postal code in which the players reside.</w:t>
      </w:r>
    </w:p>
    <w:p w14:paraId="37E7EE38" w14:textId="77777777" w:rsidR="007A4A28" w:rsidRPr="007A4A28" w:rsidRDefault="007A4A28" w:rsidP="007A4A28">
      <w:pPr>
        <w:numPr>
          <w:ilvl w:val="1"/>
          <w:numId w:val="2"/>
        </w:numPr>
      </w:pPr>
      <w:r w:rsidRPr="007A4A28">
        <w:t>The import player household count adder will be calculated as the average of the household counts determined in the prior two steps. (Note: this will determine a single number that will be used as an adder for each player residing outside of the Local Association postal code(s), regardless of whether they reside in an urban or rural postal code. This number will be revised every 3 years by March 31</w:t>
      </w:r>
      <w:r w:rsidRPr="007A4A28">
        <w:rPr>
          <w:vertAlign w:val="superscript"/>
        </w:rPr>
        <w:t>st</w:t>
      </w:r>
      <w:r w:rsidRPr="007A4A28">
        <w:t>, in the same year that Local Association postal codes are eligible for changing).</w:t>
      </w:r>
    </w:p>
    <w:p w14:paraId="57AABC6C" w14:textId="77777777" w:rsidR="007A4A28" w:rsidRPr="007A4A28" w:rsidRDefault="007A4A28" w:rsidP="007A4A28">
      <w:pPr>
        <w:numPr>
          <w:ilvl w:val="1"/>
          <w:numId w:val="2"/>
        </w:numPr>
      </w:pPr>
      <w:r w:rsidRPr="007A4A28">
        <w:t>The import player household count adder will be recalculated with the update of the Canada Post information on which it is based.</w:t>
      </w:r>
    </w:p>
    <w:p w14:paraId="4C0B7285" w14:textId="77777777" w:rsidR="007A4A28" w:rsidRPr="007A4A28" w:rsidRDefault="007A4A28" w:rsidP="007A4A28">
      <w:pPr>
        <w:numPr>
          <w:ilvl w:val="1"/>
          <w:numId w:val="2"/>
        </w:numPr>
      </w:pPr>
      <w:r w:rsidRPr="007A4A28">
        <w:t>Canada post data will be updated annually by March 31</w:t>
      </w:r>
      <w:r w:rsidRPr="007A4A28">
        <w:rPr>
          <w:vertAlign w:val="superscript"/>
        </w:rPr>
        <w:t>st</w:t>
      </w:r>
      <w:r w:rsidRPr="007A4A28">
        <w:t>.</w:t>
      </w:r>
    </w:p>
    <w:p w14:paraId="6E3538BF" w14:textId="77777777" w:rsidR="007A4A28" w:rsidRPr="007A4A28" w:rsidRDefault="007A4A28" w:rsidP="007A4A28">
      <w:pPr>
        <w:numPr>
          <w:ilvl w:val="1"/>
          <w:numId w:val="2"/>
        </w:numPr>
      </w:pPr>
      <w:r w:rsidRPr="007A4A28">
        <w:t>Where two or more Local Associations within the same Affiliated Association combine their players to field a single team, they may apply to have the combined household counts considered as the base amount for the Local Association registering the team, rather than applying the import adder count for each player from the other Local Association(s) involved. Application must be made to the Classification Committee by June 1</w:t>
      </w:r>
      <w:r w:rsidRPr="007A4A28">
        <w:rPr>
          <w:vertAlign w:val="superscript"/>
        </w:rPr>
        <w:t>st</w:t>
      </w:r>
      <w:r w:rsidRPr="007A4A28">
        <w:t>. The addition of the household counts from the neighbouring Local Association(s) must be applied to all teams classified by the designated Local Association.</w:t>
      </w:r>
    </w:p>
    <w:p w14:paraId="0ACEEED3" w14:textId="77777777" w:rsidR="007A4A28" w:rsidRPr="007A4A28" w:rsidRDefault="007A4A28" w:rsidP="007A4A28">
      <w:pPr>
        <w:numPr>
          <w:ilvl w:val="0"/>
          <w:numId w:val="2"/>
        </w:numPr>
      </w:pPr>
      <w:r w:rsidRPr="007A4A28">
        <w:t>If any Local Association feels it has a circumstance that does not fall under the provisions of R4.01a) to d), it has the right to appeal to the Rep Division.</w:t>
      </w:r>
    </w:p>
    <w:p w14:paraId="659FC7F7" w14:textId="77777777" w:rsidR="007A4A28" w:rsidRPr="007A4A28" w:rsidRDefault="007A4A28" w:rsidP="007A4A28">
      <w:r w:rsidRPr="007A4A28">
        <w:pict w14:anchorId="6B45187C">
          <v:rect id="_x0000_i1031" style="width:0;height:1.5pt" o:hralign="center" o:hrstd="t" o:hr="t" fillcolor="#a0a0a0" stroked="f"/>
        </w:pict>
      </w:r>
    </w:p>
    <w:p w14:paraId="3DC7359C" w14:textId="77777777" w:rsidR="007A4A28" w:rsidRPr="007A4A28" w:rsidRDefault="007A4A28" w:rsidP="007A4A28">
      <w:r w:rsidRPr="007A4A28">
        <w:t>R5.02       CLASSIFICATION (Pilot)</w:t>
      </w:r>
    </w:p>
    <w:p w14:paraId="1E606436" w14:textId="77777777" w:rsidR="007A4A28" w:rsidRPr="007A4A28" w:rsidRDefault="007A4A28" w:rsidP="007A4A28">
      <w:pPr>
        <w:numPr>
          <w:ilvl w:val="0"/>
          <w:numId w:val="3"/>
        </w:numPr>
      </w:pPr>
      <w:r w:rsidRPr="007A4A28">
        <w:t>Teams must submit their Classification to the OBA Office on or before April 28th annually, or 5 business days prior to the team’s first game of the season, whichever is later.  The method of classification shall be adding the classification to their roster ID in the OBA-approved rostering system (</w:t>
      </w:r>
      <w:proofErr w:type="spellStart"/>
      <w:r w:rsidRPr="007A4A28">
        <w:t>ie</w:t>
      </w:r>
      <w:proofErr w:type="spellEnd"/>
      <w:r w:rsidRPr="007A4A28">
        <w:t>: 13U AAA). Failure to submit such information by the deadline shall result in the applicable team(s) not being permitted to participate in OBA Championships.</w:t>
      </w:r>
    </w:p>
    <w:p w14:paraId="72F12A7B" w14:textId="77777777" w:rsidR="007A4A28" w:rsidRPr="007A4A28" w:rsidRDefault="007A4A28" w:rsidP="007A4A28">
      <w:pPr>
        <w:numPr>
          <w:ilvl w:val="0"/>
          <w:numId w:val="3"/>
        </w:numPr>
      </w:pPr>
      <w:r w:rsidRPr="007A4A28">
        <w:t>Once a team classifies for the season, they will not be permitted to lower their classification, however they may choose to classify higher if they wish.</w:t>
      </w:r>
    </w:p>
    <w:p w14:paraId="28F799BC" w14:textId="77777777" w:rsidR="007A4A28" w:rsidRPr="007A4A28" w:rsidRDefault="007A4A28" w:rsidP="007A4A28">
      <w:pPr>
        <w:numPr>
          <w:ilvl w:val="0"/>
          <w:numId w:val="3"/>
        </w:numPr>
      </w:pPr>
      <w:r w:rsidRPr="007A4A28">
        <w:t>The Rep Operations Committee shall determine the legitimacy of all teams' classifications.</w:t>
      </w:r>
    </w:p>
    <w:p w14:paraId="3DD18E40" w14:textId="77777777" w:rsidR="007A4A28" w:rsidRPr="007A4A28" w:rsidRDefault="007A4A28" w:rsidP="007A4A28">
      <w:pPr>
        <w:numPr>
          <w:ilvl w:val="0"/>
          <w:numId w:val="3"/>
        </w:numPr>
      </w:pPr>
      <w:r w:rsidRPr="007A4A28">
        <w:t>Affiliated Associations must declare their teams’ intention to participate in the OBA Championship that they classified in at the start of the season, no later than June 30th.</w:t>
      </w:r>
    </w:p>
    <w:p w14:paraId="2B4AF5A2" w14:textId="77777777" w:rsidR="007A4A28" w:rsidRPr="007A4A28" w:rsidRDefault="007A4A28" w:rsidP="007A4A28">
      <w:pPr>
        <w:numPr>
          <w:ilvl w:val="0"/>
          <w:numId w:val="3"/>
        </w:numPr>
      </w:pPr>
      <w:r w:rsidRPr="007A4A28">
        <w:t>The OBA Rep Commissioner shall appoint a Competition Committee to review the number of teams desirous to play in the OBA Championship.  The Competition Committee will meet on the weekend following the second Monday in July to review and ensure that teams are entered for the classification that they submitted at the start of the season. Teams may be reclassified to a higher classification by the Competition Committee at the request of the local and/or affiliated association if deemed appropriate</w:t>
      </w:r>
    </w:p>
    <w:p w14:paraId="75BE0D28" w14:textId="77777777" w:rsidR="007A4A28" w:rsidRPr="007A4A28" w:rsidRDefault="007A4A28" w:rsidP="007A4A28">
      <w:pPr>
        <w:numPr>
          <w:ilvl w:val="0"/>
          <w:numId w:val="3"/>
        </w:numPr>
      </w:pPr>
      <w:r w:rsidRPr="007A4A28">
        <w:t>The Competition Committee shall present the final classifications and recommendations for determining additional Play-Off spots to the Rep Council at the July Rep Council meeting.</w:t>
      </w:r>
    </w:p>
    <w:p w14:paraId="170BB869" w14:textId="77777777" w:rsidR="007A4A28" w:rsidRPr="007A4A28" w:rsidRDefault="007A4A28" w:rsidP="007A4A28">
      <w:pPr>
        <w:numPr>
          <w:ilvl w:val="0"/>
          <w:numId w:val="3"/>
        </w:numPr>
      </w:pPr>
      <w:r w:rsidRPr="007A4A28">
        <w:rPr>
          <w:b/>
          <w:bCs/>
        </w:rPr>
        <w:t>Teams not permitted to classify by an Affiliated Association </w:t>
      </w:r>
      <w:r w:rsidRPr="007A4A28">
        <w:br/>
        <w:t>Affiliated Associations do not have the authority to prohibit a rostered Local Association team from participating in the Provincial Championships except for disciplinary purposes.  Disciplinary decisions to remove a team from competing for a Provincial Championship are appealable to the Commissioner of Rep Baseball via the Commissioner’s Appeal process.</w:t>
      </w:r>
    </w:p>
    <w:p w14:paraId="37AE57CE" w14:textId="77777777" w:rsidR="007A4A28" w:rsidRPr="007A4A28" w:rsidRDefault="007A4A28" w:rsidP="007A4A28">
      <w:pPr>
        <w:numPr>
          <w:ilvl w:val="0"/>
          <w:numId w:val="3"/>
        </w:numPr>
      </w:pPr>
      <w:r w:rsidRPr="007A4A28">
        <w:t>Where required for classification purposes, the Affiliated Association must submit to the Classification Committee (on a form approved by the Rep Council) the schedule and results of the teams in any league play, the won-lost-tied record, and any tournament results that the teams may have participated in. Failure to comply with these rules will result in the team not being permitted to classify.</w:t>
      </w:r>
    </w:p>
    <w:p w14:paraId="366B5480" w14:textId="77777777" w:rsidR="007A4A28" w:rsidRPr="007A4A28" w:rsidRDefault="007A4A28" w:rsidP="007A4A28">
      <w:pPr>
        <w:numPr>
          <w:ilvl w:val="0"/>
          <w:numId w:val="3"/>
        </w:numPr>
      </w:pPr>
      <w:r w:rsidRPr="007A4A28">
        <w:t>Once classifications have been approved by the Rep Council, no further changes will be allowed.</w:t>
      </w:r>
    </w:p>
    <w:p w14:paraId="4E958419" w14:textId="77777777" w:rsidR="007A4A28" w:rsidRPr="007A4A28" w:rsidRDefault="007A4A28" w:rsidP="007A4A28">
      <w:pPr>
        <w:numPr>
          <w:ilvl w:val="0"/>
          <w:numId w:val="3"/>
        </w:numPr>
      </w:pPr>
      <w:r w:rsidRPr="007A4A28">
        <w:t>In any classification where less than 4 teams classify, no Rep Play-off will be held, and those teams which would have been classified at that level shall have the option of moving up one classification to participate in a Rep Play-off. Where they elect not to move up, they will not be classified.</w:t>
      </w:r>
    </w:p>
    <w:p w14:paraId="58F98581" w14:textId="77777777" w:rsidR="007A4A28" w:rsidRPr="007A4A28" w:rsidRDefault="007A4A28" w:rsidP="007A4A28">
      <w:pPr>
        <w:numPr>
          <w:ilvl w:val="0"/>
          <w:numId w:val="3"/>
        </w:numPr>
      </w:pPr>
      <w:r w:rsidRPr="007A4A28">
        <w:t>Except for Rep Provincial Championships for 8U, 9U and Female Baseball, the number of teams allowed to participate at each classification shall be one per Affiliated Association plus the tournament host. In any series where the number of Affiliated Associations participating plus the tournament host is less than 12, the number of teams which will be allowed to participate would be up to 12 including the tournament host. The Rep Council shall determine the manner of selection of the additional teams to make up the 12-team tournament.  If there are less than 12 teams classified at a classification, all teams shall be permitted to participate.</w:t>
      </w:r>
    </w:p>
    <w:p w14:paraId="77837835" w14:textId="77777777" w:rsidR="007A4A28" w:rsidRPr="007A4A28" w:rsidRDefault="007A4A28" w:rsidP="007A4A28">
      <w:pPr>
        <w:numPr>
          <w:ilvl w:val="0"/>
          <w:numId w:val="3"/>
        </w:numPr>
      </w:pPr>
      <w:r w:rsidRPr="007A4A28">
        <w:t>At 8U, 9U and Female Baseball, the number of teams allowed to participate at each classification shall be one per Affiliated Association plus the tournament host. In any series where the number of Affiliated Associations participating plus the host is less than 16 teams, the number of teams which will be allowed to participate would be up to 16 including the tournament host.  The Rep Council shall determine the manner of the selection of the additional teams to make up the 16-team tournament.  If there are less than 16 teams classified at a classification, all teams may be permitted to participate.</w:t>
      </w:r>
    </w:p>
    <w:p w14:paraId="09A77B00" w14:textId="77777777" w:rsidR="007A4A28" w:rsidRPr="007A4A28" w:rsidRDefault="007A4A28" w:rsidP="007A4A28">
      <w:pPr>
        <w:numPr>
          <w:ilvl w:val="0"/>
          <w:numId w:val="3"/>
        </w:numPr>
      </w:pPr>
      <w:r w:rsidRPr="007A4A28">
        <w:t>At Senior the following limits apply to the number of teams for each Rep Play-off Tournament:</w:t>
      </w:r>
    </w:p>
    <w:p w14:paraId="79265848" w14:textId="77777777" w:rsidR="007A4A28" w:rsidRPr="007A4A28" w:rsidRDefault="007A4A28" w:rsidP="007A4A28">
      <w:pPr>
        <w:numPr>
          <w:ilvl w:val="1"/>
          <w:numId w:val="3"/>
        </w:numPr>
      </w:pPr>
      <w:r w:rsidRPr="007A4A28">
        <w:t>Senior AAA shall be unlimited; and</w:t>
      </w:r>
    </w:p>
    <w:p w14:paraId="4F15C594" w14:textId="77777777" w:rsidR="007A4A28" w:rsidRPr="007A4A28" w:rsidRDefault="007A4A28" w:rsidP="007A4A28">
      <w:pPr>
        <w:numPr>
          <w:ilvl w:val="1"/>
          <w:numId w:val="3"/>
        </w:numPr>
      </w:pPr>
      <w:r w:rsidRPr="007A4A28">
        <w:t>Senior AA and below shall be limited to 12 teams, with no more than 2 teams coming from any one Affiliated Association. Additional teams may be added from an Affiliated Association to bring the tournament to a maximum of 12 teams including the host.</w:t>
      </w:r>
    </w:p>
    <w:p w14:paraId="1149AFB0" w14:textId="77777777" w:rsidR="007A4A28" w:rsidRPr="007A4A28" w:rsidRDefault="007A4A28" w:rsidP="007A4A28">
      <w:pPr>
        <w:numPr>
          <w:ilvl w:val="1"/>
          <w:numId w:val="3"/>
        </w:numPr>
      </w:pPr>
      <w:r w:rsidRPr="007A4A28">
        <w:t>Except at Senior AAA and Senior AA, the champions in any category shall be classified in the next high category the following year.</w:t>
      </w:r>
    </w:p>
    <w:p w14:paraId="52E59C26" w14:textId="77777777" w:rsidR="007A4A28" w:rsidRPr="007A4A28" w:rsidRDefault="007A4A28" w:rsidP="007A4A28">
      <w:pPr>
        <w:numPr>
          <w:ilvl w:val="0"/>
          <w:numId w:val="3"/>
        </w:numPr>
      </w:pPr>
      <w:r w:rsidRPr="007A4A28">
        <w:t>The Rep Council shall decide annually the method by which the winner of each Rep Play-off shall be declared. This method shall consist of one of the following:</w:t>
      </w:r>
    </w:p>
    <w:p w14:paraId="4DA433E6" w14:textId="77777777" w:rsidR="007A4A28" w:rsidRPr="007A4A28" w:rsidRDefault="007A4A28" w:rsidP="007A4A28">
      <w:pPr>
        <w:numPr>
          <w:ilvl w:val="1"/>
          <w:numId w:val="3"/>
        </w:numPr>
      </w:pPr>
      <w:r w:rsidRPr="007A4A28">
        <w:t xml:space="preserve">home and home style Rep Provincial </w:t>
      </w:r>
      <w:proofErr w:type="spellStart"/>
      <w:r w:rsidRPr="007A4A28">
        <w:t>Chamionships</w:t>
      </w:r>
      <w:proofErr w:type="spellEnd"/>
      <w:r w:rsidRPr="007A4A28">
        <w:t>; or</w:t>
      </w:r>
    </w:p>
    <w:p w14:paraId="2F67CD15" w14:textId="77777777" w:rsidR="007A4A28" w:rsidRPr="007A4A28" w:rsidRDefault="007A4A28" w:rsidP="007A4A28">
      <w:pPr>
        <w:numPr>
          <w:ilvl w:val="1"/>
          <w:numId w:val="3"/>
        </w:numPr>
      </w:pPr>
      <w:r w:rsidRPr="007A4A28">
        <w:t>a double loss knock-out tournament with a minimum of 6 teams scheduled to be held no later than the Labour Day weekend; or</w:t>
      </w:r>
    </w:p>
    <w:p w14:paraId="3C335FE4" w14:textId="77777777" w:rsidR="007A4A28" w:rsidRPr="007A4A28" w:rsidRDefault="007A4A28" w:rsidP="007A4A28">
      <w:pPr>
        <w:numPr>
          <w:ilvl w:val="1"/>
          <w:numId w:val="3"/>
        </w:numPr>
      </w:pPr>
      <w:r w:rsidRPr="007A4A28">
        <w:t>a round robin tournament; or</w:t>
      </w:r>
    </w:p>
    <w:p w14:paraId="19F28FB0" w14:textId="77777777" w:rsidR="007A4A28" w:rsidRPr="007A4A28" w:rsidRDefault="007A4A28" w:rsidP="007A4A28">
      <w:pPr>
        <w:numPr>
          <w:ilvl w:val="1"/>
          <w:numId w:val="3"/>
        </w:numPr>
      </w:pPr>
      <w:r w:rsidRPr="007A4A28">
        <w:t>a combination.</w:t>
      </w:r>
    </w:p>
    <w:p w14:paraId="097F0EF5" w14:textId="77777777" w:rsidR="007A4A28" w:rsidRPr="007A4A28" w:rsidRDefault="007A4A28" w:rsidP="007A4A28">
      <w:pPr>
        <w:numPr>
          <w:ilvl w:val="0"/>
          <w:numId w:val="3"/>
        </w:numPr>
      </w:pPr>
      <w:r w:rsidRPr="007A4A28">
        <w:t>No player may participate with more than 1 team in any 1 series.</w:t>
      </w:r>
    </w:p>
    <w:p w14:paraId="6A6D936F" w14:textId="77777777" w:rsidR="007A4A28" w:rsidRPr="007A4A28" w:rsidRDefault="007A4A28" w:rsidP="007A4A28">
      <w:pPr>
        <w:numPr>
          <w:ilvl w:val="0"/>
          <w:numId w:val="3"/>
        </w:numPr>
      </w:pPr>
      <w:r w:rsidRPr="007A4A28">
        <w:t>Any team classified at the Rep classification meeting must participate in all its Rep Provincial Championships. If a team fails to fulfil its commitment a fee of 1.5 times the entry fee for that tournament will be assessed. Local Associations and Affiliated Associations shall be responsible for ensuring payment of such fines assessed against their teams.</w:t>
      </w:r>
    </w:p>
    <w:p w14:paraId="08BDFFA4" w14:textId="77777777" w:rsidR="007A4A28" w:rsidRPr="007A4A28" w:rsidRDefault="007A4A28" w:rsidP="007A4A28">
      <w:pPr>
        <w:numPr>
          <w:ilvl w:val="0"/>
          <w:numId w:val="3"/>
        </w:numPr>
      </w:pPr>
      <w:proofErr w:type="gramStart"/>
      <w:r w:rsidRPr="007A4A28">
        <w:t>In order to</w:t>
      </w:r>
      <w:proofErr w:type="gramEnd"/>
      <w:r w:rsidRPr="007A4A28">
        <w:t xml:space="preserve"> be classified, a team must have played and reported a minimum of 5 games against other OBA Rep rostered </w:t>
      </w:r>
      <w:proofErr w:type="gramStart"/>
      <w:r w:rsidRPr="007A4A28">
        <w:t>teams</w:t>
      </w:r>
      <w:proofErr w:type="gramEnd"/>
      <w:r w:rsidRPr="007A4A28">
        <w:t xml:space="preserve"> and those games must be documented in the Pitch Count app.</w:t>
      </w:r>
    </w:p>
    <w:p w14:paraId="7C04E2C8" w14:textId="77777777" w:rsidR="007A4A28" w:rsidRPr="007A4A28" w:rsidRDefault="007A4A28" w:rsidP="007A4A28">
      <w:pPr>
        <w:numPr>
          <w:ilvl w:val="0"/>
          <w:numId w:val="3"/>
        </w:numPr>
      </w:pPr>
      <w:r w:rsidRPr="007A4A28">
        <w:t>Except at 18U AAA, at each age category where the winner of the National Qualifier Tournament is not deemed a Rep Play-off Champion, the winner of the National Qualifier Tournament shall be granted an automatic entry into the Rep Play-off Tournament for which teams entering the National Qualifier Tournament are classified. The National Qualifier Tournament winners will not be considered the representative of the Affiliated Association to which it belongs, and the Affiliated Association shall be entitled to send another of its teams as its representative.  National Qualifier Tournament winners must declare their intentions to the OBA Office and the Rep Play-off Tournament host by August 15. </w:t>
      </w:r>
    </w:p>
    <w:p w14:paraId="627D194D" w14:textId="77777777" w:rsidR="007A4A28" w:rsidRPr="007A4A28" w:rsidRDefault="007A4A28" w:rsidP="007A4A28">
      <w:pPr>
        <w:numPr>
          <w:ilvl w:val="0"/>
          <w:numId w:val="3"/>
        </w:numPr>
      </w:pPr>
      <w:r w:rsidRPr="007A4A28">
        <w:t>For 8U, 9U and Girls Baseball, the OBA Play-off Tournament format shall be at the discretion of the Rep Council each year.</w:t>
      </w:r>
    </w:p>
    <w:p w14:paraId="4FC3CF30" w14:textId="3E82F00D" w:rsidR="00C20E9B" w:rsidRDefault="007A4A28" w:rsidP="007A4A28">
      <w:pPr>
        <w:numPr>
          <w:ilvl w:val="0"/>
          <w:numId w:val="3"/>
        </w:numPr>
      </w:pPr>
      <w:r w:rsidRPr="007A4A28">
        <w:t>Where several municipalities or Local Associations of C or lower classifications desire to compete in open tournaments at the A, AA, and AAA level, they may choose to register an Affiliated Association approved team for that purpose. Such teams shall not be eligible for Rep Provincial Championships and National Qualifier Tournaments, and players on such a team are obliged to honour commitments to their Local Association first.</w:t>
      </w:r>
    </w:p>
    <w:sectPr w:rsidR="00C20E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50DFE"/>
    <w:multiLevelType w:val="multilevel"/>
    <w:tmpl w:val="0A863B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A8B7317"/>
    <w:multiLevelType w:val="multilevel"/>
    <w:tmpl w:val="03A2D316"/>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A4C5111"/>
    <w:multiLevelType w:val="multilevel"/>
    <w:tmpl w:val="9F7E372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16511231">
    <w:abstractNumId w:val="0"/>
  </w:num>
  <w:num w:numId="2" w16cid:durableId="986517663">
    <w:abstractNumId w:val="1"/>
  </w:num>
  <w:num w:numId="3" w16cid:durableId="268509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28"/>
    <w:rsid w:val="00175273"/>
    <w:rsid w:val="007A4A28"/>
    <w:rsid w:val="00867A33"/>
    <w:rsid w:val="00C20E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A084"/>
  <w15:chartTrackingRefBased/>
  <w15:docId w15:val="{BB82D77E-B269-4B72-B73D-27662334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BAGreen">
    <w:name w:val="OBA Green"/>
    <w:basedOn w:val="TableNormal"/>
    <w:uiPriority w:val="99"/>
    <w:rsid w:val="00C20E9B"/>
    <w:pPr>
      <w:spacing w:after="0" w:line="240" w:lineRule="auto"/>
    </w:pPr>
    <w:rPr>
      <w:rFonts w:ascii="CG Times" w:eastAsia="Times New Roman" w:hAnsi="CG Times" w:cs="CG Times"/>
      <w:kern w:val="0"/>
      <w:sz w:val="20"/>
      <w:szCs w:val="20"/>
      <w:lang w:eastAsia="en-CA"/>
      <w14:ligatures w14:val="none"/>
    </w:rPr>
    <w:tblPr>
      <w:tblStyleRowBandSize w:val="1"/>
    </w:tblPr>
    <w:tblStylePr w:type="firstRow">
      <w:pPr>
        <w:jc w:val="center"/>
      </w:pPr>
      <w:rPr>
        <w:rFonts w:asciiTheme="minorHAnsi" w:hAnsiTheme="minorHAnsi"/>
        <w:color w:val="FFFFFF" w:themeColor="background1"/>
      </w:rPr>
      <w:tblPr/>
      <w:tcPr>
        <w:shd w:val="clear" w:color="auto" w:fill="006600"/>
        <w:vAlign w:val="center"/>
      </w:tcPr>
    </w:tblStylePr>
    <w:tblStylePr w:type="band1Horz">
      <w:pPr>
        <w:jc w:val="left"/>
      </w:pPr>
      <w:rPr>
        <w:color w:val="auto"/>
      </w:rPr>
      <w:tblPr/>
      <w:tcPr>
        <w:shd w:val="clear" w:color="auto" w:fill="CEDECC"/>
      </w:tcPr>
    </w:tblStylePr>
  </w:style>
  <w:style w:type="character" w:customStyle="1" w:styleId="Heading1Char">
    <w:name w:val="Heading 1 Char"/>
    <w:basedOn w:val="DefaultParagraphFont"/>
    <w:link w:val="Heading1"/>
    <w:uiPriority w:val="9"/>
    <w:rsid w:val="007A4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A28"/>
    <w:rPr>
      <w:rFonts w:eastAsiaTheme="majorEastAsia" w:cstheme="majorBidi"/>
      <w:color w:val="272727" w:themeColor="text1" w:themeTint="D8"/>
    </w:rPr>
  </w:style>
  <w:style w:type="paragraph" w:styleId="Title">
    <w:name w:val="Title"/>
    <w:basedOn w:val="Normal"/>
    <w:next w:val="Normal"/>
    <w:link w:val="TitleChar"/>
    <w:uiPriority w:val="10"/>
    <w:qFormat/>
    <w:rsid w:val="007A4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A28"/>
    <w:pPr>
      <w:spacing w:before="160"/>
      <w:jc w:val="center"/>
    </w:pPr>
    <w:rPr>
      <w:i/>
      <w:iCs/>
      <w:color w:val="404040" w:themeColor="text1" w:themeTint="BF"/>
    </w:rPr>
  </w:style>
  <w:style w:type="character" w:customStyle="1" w:styleId="QuoteChar">
    <w:name w:val="Quote Char"/>
    <w:basedOn w:val="DefaultParagraphFont"/>
    <w:link w:val="Quote"/>
    <w:uiPriority w:val="29"/>
    <w:rsid w:val="007A4A28"/>
    <w:rPr>
      <w:i/>
      <w:iCs/>
      <w:color w:val="404040" w:themeColor="text1" w:themeTint="BF"/>
    </w:rPr>
  </w:style>
  <w:style w:type="paragraph" w:styleId="ListParagraph">
    <w:name w:val="List Paragraph"/>
    <w:basedOn w:val="Normal"/>
    <w:uiPriority w:val="34"/>
    <w:qFormat/>
    <w:rsid w:val="007A4A28"/>
    <w:pPr>
      <w:ind w:left="720"/>
      <w:contextualSpacing/>
    </w:pPr>
  </w:style>
  <w:style w:type="character" w:styleId="IntenseEmphasis">
    <w:name w:val="Intense Emphasis"/>
    <w:basedOn w:val="DefaultParagraphFont"/>
    <w:uiPriority w:val="21"/>
    <w:qFormat/>
    <w:rsid w:val="007A4A28"/>
    <w:rPr>
      <w:i/>
      <w:iCs/>
      <w:color w:val="0F4761" w:themeColor="accent1" w:themeShade="BF"/>
    </w:rPr>
  </w:style>
  <w:style w:type="paragraph" w:styleId="IntenseQuote">
    <w:name w:val="Intense Quote"/>
    <w:basedOn w:val="Normal"/>
    <w:next w:val="Normal"/>
    <w:link w:val="IntenseQuoteChar"/>
    <w:uiPriority w:val="30"/>
    <w:qFormat/>
    <w:rsid w:val="007A4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A28"/>
    <w:rPr>
      <w:i/>
      <w:iCs/>
      <w:color w:val="0F4761" w:themeColor="accent1" w:themeShade="BF"/>
    </w:rPr>
  </w:style>
  <w:style w:type="character" w:styleId="IntenseReference">
    <w:name w:val="Intense Reference"/>
    <w:basedOn w:val="DefaultParagraphFont"/>
    <w:uiPriority w:val="32"/>
    <w:qFormat/>
    <w:rsid w:val="007A4A28"/>
    <w:rPr>
      <w:b/>
      <w:bCs/>
      <w:smallCaps/>
      <w:color w:val="0F4761" w:themeColor="accent1" w:themeShade="BF"/>
      <w:spacing w:val="5"/>
    </w:rPr>
  </w:style>
  <w:style w:type="character" w:styleId="Hyperlink">
    <w:name w:val="Hyperlink"/>
    <w:basedOn w:val="DefaultParagraphFont"/>
    <w:uiPriority w:val="99"/>
    <w:unhideWhenUsed/>
    <w:rsid w:val="007A4A28"/>
    <w:rPr>
      <w:color w:val="467886" w:themeColor="hyperlink"/>
      <w:u w:val="single"/>
    </w:rPr>
  </w:style>
  <w:style w:type="character" w:styleId="UnresolvedMention">
    <w:name w:val="Unresolved Mention"/>
    <w:basedOn w:val="DefaultParagraphFont"/>
    <w:uiPriority w:val="99"/>
    <w:semiHidden/>
    <w:unhideWhenUsed/>
    <w:rsid w:val="007A4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1709</Words>
  <Characters>8495</Characters>
  <Application>Microsoft Office Word</Application>
  <DocSecurity>0</DocSecurity>
  <Lines>188</Lines>
  <Paragraphs>99</Paragraphs>
  <ScaleCrop>false</ScaleCrop>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Kaira Bates</dc:creator>
  <cp:keywords/>
  <dc:description/>
  <cp:lastModifiedBy>Kaira Bates</cp:lastModifiedBy>
  <cp:revision>1</cp:revision>
  <dcterms:created xsi:type="dcterms:W3CDTF">2026-05-12T15:18:00Z</dcterms:created>
  <dcterms:modified xsi:type="dcterms:W3CDTF">2026-05-12T15:19:00Z</dcterms:modified>
</cp:coreProperties>
</file>